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A2E7F" w14:textId="1E061987" w:rsidR="003E19D7" w:rsidRPr="00CE248E" w:rsidRDefault="003E19D7" w:rsidP="003E19D7">
      <w:pPr>
        <w:pStyle w:val="3GPPHeader"/>
        <w:spacing w:after="60"/>
        <w:rPr>
          <w:sz w:val="36"/>
          <w:szCs w:val="32"/>
        </w:rPr>
      </w:pPr>
      <w:r w:rsidRPr="00CE248E">
        <w:t>3GPP TSG-RAN WG2</w:t>
      </w:r>
      <w:r w:rsidR="00DC0298">
        <w:rPr>
          <w:noProof/>
        </w:rPr>
        <w:t xml:space="preserve"> </w:t>
      </w:r>
      <w:r w:rsidR="0051743E">
        <w:rPr>
          <w:noProof/>
        </w:rPr>
        <w:t>#10</w:t>
      </w:r>
      <w:r w:rsidR="00E865ED">
        <w:rPr>
          <w:noProof/>
        </w:rPr>
        <w:t>4</w:t>
      </w:r>
      <w:r w:rsidRPr="00CE248E">
        <w:rPr>
          <w:sz w:val="28"/>
        </w:rPr>
        <w:tab/>
      </w:r>
      <w:r w:rsidR="00CD318D" w:rsidRPr="00CD318D">
        <w:rPr>
          <w:sz w:val="28"/>
          <w:szCs w:val="28"/>
        </w:rPr>
        <w:t>R2-1818365</w:t>
      </w:r>
    </w:p>
    <w:p w14:paraId="6B669E58" w14:textId="75663C1B" w:rsidR="003E19D7" w:rsidRPr="00D80827" w:rsidRDefault="00E865ED" w:rsidP="005450C2">
      <w:pPr>
        <w:pStyle w:val="3GPPHeader"/>
        <w:jc w:val="right"/>
        <w:rPr>
          <w:rFonts w:cs="Arial"/>
          <w:lang w:val="en-US"/>
        </w:rPr>
      </w:pPr>
      <w:r>
        <w:rPr>
          <w:lang w:val="en-US"/>
        </w:rPr>
        <w:t>Spokane</w:t>
      </w:r>
      <w:r w:rsidR="00726AA7" w:rsidRPr="00D80827">
        <w:rPr>
          <w:lang w:val="en-US"/>
        </w:rPr>
        <w:t xml:space="preserve">, </w:t>
      </w:r>
      <w:r>
        <w:rPr>
          <w:lang w:val="en-US"/>
        </w:rPr>
        <w:t>USA</w:t>
      </w:r>
      <w:r w:rsidR="00726AA7" w:rsidRPr="00D80827">
        <w:rPr>
          <w:lang w:val="en-US"/>
        </w:rPr>
        <w:t xml:space="preserve">, </w:t>
      </w:r>
      <w:r w:rsidR="00FF3079">
        <w:rPr>
          <w:lang w:val="en-US"/>
        </w:rPr>
        <w:t>12</w:t>
      </w:r>
      <w:r w:rsidR="0051743E" w:rsidRPr="00D80827">
        <w:rPr>
          <w:vertAlign w:val="superscript"/>
          <w:lang w:val="en-US"/>
        </w:rPr>
        <w:t>th</w:t>
      </w:r>
      <w:r w:rsidR="00726AA7" w:rsidRPr="00D80827">
        <w:rPr>
          <w:lang w:val="en-US"/>
        </w:rPr>
        <w:t xml:space="preserve"> – </w:t>
      </w:r>
      <w:r w:rsidR="00BA4322" w:rsidRPr="00D80827">
        <w:rPr>
          <w:lang w:val="en-US"/>
        </w:rPr>
        <w:t>1</w:t>
      </w:r>
      <w:r w:rsidR="00FF3079">
        <w:rPr>
          <w:lang w:val="en-US"/>
        </w:rPr>
        <w:t>6</w:t>
      </w:r>
      <w:r w:rsidR="00726AA7" w:rsidRPr="00D80827">
        <w:rPr>
          <w:vertAlign w:val="superscript"/>
          <w:lang w:val="en-US"/>
        </w:rPr>
        <w:t xml:space="preserve">th </w:t>
      </w:r>
      <w:r w:rsidR="00FF3079">
        <w:rPr>
          <w:lang w:val="en-US"/>
        </w:rPr>
        <w:t>November</w:t>
      </w:r>
      <w:r w:rsidR="00726AA7" w:rsidRPr="00D80827">
        <w:rPr>
          <w:lang w:val="en-US"/>
        </w:rPr>
        <w:t xml:space="preserve"> 2018</w:t>
      </w:r>
      <w:r w:rsidR="00C22AD5" w:rsidRPr="00D80827">
        <w:rPr>
          <w:lang w:val="en-US"/>
        </w:rPr>
        <w:tab/>
      </w:r>
      <w:r w:rsidR="007E45D8" w:rsidRPr="00D80827">
        <w:rPr>
          <w:lang w:val="en-US"/>
        </w:rPr>
        <w:t xml:space="preserve">                 </w:t>
      </w:r>
      <w:r w:rsidR="00AA7717" w:rsidRPr="00D80827">
        <w:rPr>
          <w:lang w:val="en-US"/>
        </w:rPr>
        <w:t xml:space="preserve">                  </w:t>
      </w:r>
    </w:p>
    <w:p w14:paraId="19F901B0" w14:textId="77777777" w:rsidR="00E90E49" w:rsidRPr="00D80827" w:rsidRDefault="00E90E49" w:rsidP="00357380">
      <w:pPr>
        <w:pStyle w:val="3GPPHeader"/>
        <w:rPr>
          <w:lang w:val="en-US"/>
        </w:rPr>
      </w:pPr>
    </w:p>
    <w:p w14:paraId="00C28BFE" w14:textId="5A73087F" w:rsidR="00BA00E8" w:rsidRPr="00D80827" w:rsidRDefault="00BA00E8" w:rsidP="00BA00E8">
      <w:pPr>
        <w:pStyle w:val="3GPPHeader"/>
        <w:rPr>
          <w:rFonts w:cs="Arial"/>
          <w:sz w:val="22"/>
          <w:lang w:val="en-US"/>
        </w:rPr>
      </w:pPr>
      <w:r w:rsidRPr="00D80827">
        <w:rPr>
          <w:rFonts w:cs="Arial"/>
          <w:sz w:val="22"/>
          <w:lang w:val="en-US"/>
        </w:rPr>
        <w:t>Agenda Item:</w:t>
      </w:r>
      <w:r w:rsidRPr="00D80827">
        <w:rPr>
          <w:rFonts w:cs="Arial"/>
          <w:sz w:val="22"/>
          <w:lang w:val="en-US"/>
        </w:rPr>
        <w:tab/>
      </w:r>
      <w:r w:rsidR="004268ED" w:rsidRPr="00D80827">
        <w:rPr>
          <w:rFonts w:cs="Arial"/>
          <w:sz w:val="22"/>
          <w:lang w:val="en-US"/>
        </w:rPr>
        <w:t>1</w:t>
      </w:r>
      <w:r w:rsidR="00CD318D">
        <w:rPr>
          <w:rFonts w:cs="Arial"/>
          <w:sz w:val="22"/>
          <w:lang w:val="en-US"/>
        </w:rPr>
        <w:t>0.4.1.4.1</w:t>
      </w:r>
      <w:bookmarkStart w:id="0" w:name="_GoBack"/>
      <w:bookmarkEnd w:id="0"/>
    </w:p>
    <w:p w14:paraId="42813497" w14:textId="77777777" w:rsidR="00BA00E8" w:rsidRPr="00D80827" w:rsidRDefault="00BA00E8" w:rsidP="00BA00E8">
      <w:pPr>
        <w:pStyle w:val="3GPPHeader"/>
        <w:rPr>
          <w:rFonts w:cs="Arial"/>
          <w:sz w:val="22"/>
          <w:lang w:val="en-US"/>
        </w:rPr>
      </w:pPr>
      <w:r w:rsidRPr="00D80827">
        <w:rPr>
          <w:rFonts w:cs="Arial"/>
          <w:sz w:val="22"/>
          <w:lang w:val="en-US"/>
        </w:rPr>
        <w:t>Source:</w:t>
      </w:r>
      <w:r w:rsidRPr="00D80827">
        <w:rPr>
          <w:rFonts w:cs="Arial"/>
          <w:sz w:val="22"/>
          <w:lang w:val="en-US"/>
        </w:rPr>
        <w:tab/>
        <w:t>Ericsson</w:t>
      </w:r>
    </w:p>
    <w:p w14:paraId="71CB49DD" w14:textId="5063B71B" w:rsidR="00BA00E8" w:rsidRPr="00D80827" w:rsidRDefault="00BA00E8" w:rsidP="00BA00E8">
      <w:pPr>
        <w:pStyle w:val="3GPPHeader"/>
        <w:rPr>
          <w:rFonts w:cs="Arial"/>
          <w:sz w:val="22"/>
          <w:lang w:val="en-US"/>
        </w:rPr>
      </w:pPr>
      <w:r w:rsidRPr="00D80827">
        <w:rPr>
          <w:rFonts w:cs="Arial"/>
          <w:sz w:val="22"/>
          <w:lang w:val="en-US"/>
        </w:rPr>
        <w:t>Title:</w:t>
      </w:r>
      <w:r w:rsidRPr="00D80827">
        <w:rPr>
          <w:rFonts w:cs="Arial"/>
          <w:sz w:val="22"/>
          <w:lang w:val="en-US"/>
        </w:rPr>
        <w:tab/>
      </w:r>
      <w:r w:rsidR="00FE7C81">
        <w:rPr>
          <w:rFonts w:cs="Arial"/>
          <w:sz w:val="22"/>
          <w:lang w:val="en-US"/>
        </w:rPr>
        <w:t xml:space="preserve">On </w:t>
      </w:r>
      <w:r w:rsidR="00E24CB5">
        <w:rPr>
          <w:rFonts w:cs="Arial"/>
          <w:sz w:val="22"/>
          <w:lang w:val="en-US"/>
        </w:rPr>
        <w:t>measurement report size reduction</w:t>
      </w:r>
    </w:p>
    <w:p w14:paraId="1EDD93C1" w14:textId="77777777" w:rsidR="00BA00E8" w:rsidRPr="004F0EDC" w:rsidRDefault="00BA00E8" w:rsidP="00BA00E8">
      <w:pPr>
        <w:pStyle w:val="3GPPHeader"/>
        <w:rPr>
          <w:rFonts w:cs="Arial"/>
          <w:sz w:val="22"/>
        </w:rPr>
      </w:pPr>
      <w:r w:rsidRPr="004F0EDC">
        <w:rPr>
          <w:rFonts w:cs="Arial"/>
          <w:sz w:val="22"/>
        </w:rPr>
        <w:t>Document for:</w:t>
      </w:r>
      <w:r w:rsidRPr="004F0EDC">
        <w:rPr>
          <w:rFonts w:cs="Arial"/>
          <w:sz w:val="22"/>
        </w:rPr>
        <w:tab/>
        <w:t>Discussion, Decision</w:t>
      </w:r>
    </w:p>
    <w:p w14:paraId="21A4F1BE" w14:textId="77777777" w:rsidR="00C24345" w:rsidRDefault="00E90E49" w:rsidP="00A2052C">
      <w:pPr>
        <w:pStyle w:val="Heading1"/>
      </w:pPr>
      <w:r w:rsidRPr="00CE0424">
        <w:t>Introduction</w:t>
      </w:r>
    </w:p>
    <w:p w14:paraId="5575EF95" w14:textId="329EA820" w:rsidR="00BA00E8" w:rsidRDefault="00300157" w:rsidP="00BA00E8">
      <w:pPr>
        <w:rPr>
          <w:lang w:val="en-US" w:eastAsia="en-GB"/>
        </w:rPr>
      </w:pPr>
      <w:r>
        <w:rPr>
          <w:lang w:val="en-US" w:eastAsia="en-GB"/>
        </w:rPr>
        <w:t xml:space="preserve">The </w:t>
      </w:r>
      <w:r w:rsidR="00A125C2">
        <w:rPr>
          <w:lang w:val="en-US" w:eastAsia="en-GB"/>
        </w:rPr>
        <w:t>measurement report in NR includes serving cell level, best neighbor cell in the serving frequencies and the cells that triggered the measurement report</w:t>
      </w:r>
      <w:r w:rsidR="000F7E6F">
        <w:rPr>
          <w:lang w:val="en-US" w:eastAsia="en-GB"/>
        </w:rPr>
        <w:t>.</w:t>
      </w:r>
      <w:r w:rsidR="00A125C2">
        <w:rPr>
          <w:lang w:val="en-US" w:eastAsia="en-GB"/>
        </w:rPr>
        <w:t xml:space="preserve"> In addition to the cell level measurements, the UEs can be configured to report on the beam level measurements as well. This will increase the measurement report size and in challenging radio conditions (with limited UL coverage), sending the measurement report from the UE could </w:t>
      </w:r>
      <w:r w:rsidR="008D34D7">
        <w:rPr>
          <w:lang w:val="en-US" w:eastAsia="en-GB"/>
        </w:rPr>
        <w:t>be</w:t>
      </w:r>
      <w:r w:rsidR="00A125C2">
        <w:rPr>
          <w:lang w:val="en-US" w:eastAsia="en-GB"/>
        </w:rPr>
        <w:t xml:space="preserve"> a limiting scenario.</w:t>
      </w:r>
    </w:p>
    <w:p w14:paraId="2D190D89" w14:textId="19A9B8F2" w:rsidR="00A125C2" w:rsidRPr="00D80827" w:rsidRDefault="00A125C2" w:rsidP="00BA00E8">
      <w:pPr>
        <w:rPr>
          <w:lang w:val="en-US" w:eastAsia="en-GB"/>
        </w:rPr>
      </w:pPr>
      <w:r>
        <w:rPr>
          <w:lang w:val="en-US" w:eastAsia="en-GB"/>
        </w:rPr>
        <w:t xml:space="preserve">In this contribution we discuss how the measurement report size can be reduced. </w:t>
      </w:r>
    </w:p>
    <w:p w14:paraId="7FFC3B63" w14:textId="62B9AA24" w:rsidR="008B2EA6" w:rsidRPr="0086247C" w:rsidRDefault="004000E8" w:rsidP="0086247C">
      <w:pPr>
        <w:pStyle w:val="Heading1"/>
      </w:pPr>
      <w:bookmarkStart w:id="1" w:name="_Ref178064866"/>
      <w:r w:rsidRPr="00CE0424">
        <w:t>Discussion</w:t>
      </w:r>
      <w:bookmarkStart w:id="2" w:name="_Toc502931795"/>
      <w:bookmarkStart w:id="3" w:name="_Toc502953338"/>
      <w:bookmarkEnd w:id="1"/>
    </w:p>
    <w:p w14:paraId="7AF9A8E3" w14:textId="681EF3FA" w:rsidR="00A125C2" w:rsidRDefault="00A125C2" w:rsidP="0086247C">
      <w:pPr>
        <w:rPr>
          <w:lang w:val="en-US"/>
        </w:rPr>
      </w:pPr>
      <w:r>
        <w:rPr>
          <w:lang w:val="en-US"/>
        </w:rPr>
        <w:t xml:space="preserve">Uplink coverage could be problematic in mid-band and high-band deployments. It is also common to have more SSB beams in these frequencies to provide coverage. The network configures the UE to report beam specific reports to enable reduced resource allocations (CFRA) in the target cells. This will result in </w:t>
      </w:r>
      <w:r w:rsidR="003B495B">
        <w:rPr>
          <w:lang w:val="en-US"/>
        </w:rPr>
        <w:t>the increased measurement report size for the UE as the UE has to report</w:t>
      </w:r>
      <w:r w:rsidR="00782AB4">
        <w:rPr>
          <w:lang w:val="en-US"/>
        </w:rPr>
        <w:t xml:space="preserve">. </w:t>
      </w:r>
      <w:r>
        <w:rPr>
          <w:lang w:val="en-US"/>
        </w:rPr>
        <w:t>In such scenarios, when the UE sends a measurement report, the UE shall sen</w:t>
      </w:r>
      <w:r w:rsidR="00782AB4">
        <w:rPr>
          <w:lang w:val="en-US"/>
        </w:rPr>
        <w:t>d the cell and beam level measurements related to the cells that triggered the measurement report, the serving cells and the best neighbor cells in the serving frequencies.</w:t>
      </w:r>
    </w:p>
    <w:p w14:paraId="4974F012" w14:textId="42507C22" w:rsidR="003B0731" w:rsidRDefault="00782AB4" w:rsidP="002005F0">
      <w:pPr>
        <w:pStyle w:val="Observation"/>
        <w:rPr>
          <w:lang w:val="en-US"/>
        </w:rPr>
      </w:pPr>
      <w:bookmarkStart w:id="4" w:name="_Toc502953079"/>
      <w:bookmarkStart w:id="5" w:name="_Toc502953144"/>
      <w:bookmarkStart w:id="6" w:name="_Toc502953249"/>
      <w:bookmarkStart w:id="7" w:name="_Toc502953523"/>
      <w:bookmarkStart w:id="8" w:name="_Toc503171537"/>
      <w:bookmarkStart w:id="9" w:name="_Toc525212320"/>
      <w:bookmarkStart w:id="10" w:name="_Toc525280709"/>
      <w:bookmarkStart w:id="11" w:name="_Toc525662045"/>
      <w:bookmarkStart w:id="12" w:name="_Toc525662084"/>
      <w:bookmarkStart w:id="13" w:name="_Toc525733044"/>
      <w:bookmarkStart w:id="14" w:name="_Toc525733588"/>
      <w:bookmarkStart w:id="15" w:name="_Hlk490233163"/>
      <w:bookmarkStart w:id="16" w:name="_Toc527380483"/>
      <w:bookmarkStart w:id="17" w:name="_Toc527983258"/>
      <w:bookmarkEnd w:id="2"/>
      <w:bookmarkEnd w:id="3"/>
      <w:r>
        <w:rPr>
          <w:lang w:val="en-US"/>
        </w:rPr>
        <w:t>The measurement reporting overhead which includes the cell and beam level measurements for the cells that triggered the measurement report, the serving cells and the best neighbor cells in the serving frequencies could be large and hence could be challenging to transmit in poor radio conditions</w:t>
      </w:r>
      <w:r w:rsidR="00BA00E8" w:rsidRPr="00D80827">
        <w:rPr>
          <w:lang w:val="en-US"/>
        </w:rPr>
        <w:t>.</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6709444E" w14:textId="2A7EC79A" w:rsidR="00DF5D5A" w:rsidRDefault="00CA1A8C" w:rsidP="00782AB4">
      <w:pPr>
        <w:rPr>
          <w:lang w:val="en-US"/>
        </w:rPr>
      </w:pPr>
      <w:r>
        <w:rPr>
          <w:lang w:val="en-US"/>
        </w:rPr>
        <w:t xml:space="preserve">The network could configure the UE to not report the beam level measurements and/or the best neighbor cell related measurements in the serving frequencies if the network is not intending to use this information. </w:t>
      </w:r>
      <w:r w:rsidR="00945792">
        <w:rPr>
          <w:lang w:val="en-US"/>
        </w:rPr>
        <w:t>However,</w:t>
      </w:r>
      <w:r>
        <w:rPr>
          <w:lang w:val="en-US"/>
        </w:rPr>
        <w:t xml:space="preserve"> in a typical scenario the network benefits from </w:t>
      </w:r>
      <w:proofErr w:type="gramStart"/>
      <w:r>
        <w:rPr>
          <w:lang w:val="en-US"/>
        </w:rPr>
        <w:t>these information</w:t>
      </w:r>
      <w:proofErr w:type="gramEnd"/>
      <w:r>
        <w:rPr>
          <w:lang w:val="en-US"/>
        </w:rPr>
        <w:t xml:space="preserve"> and these information could be useful in one part of the cell coverage compared to the other where the presence of these information just makes it difficult to transmit the measurement report from the UE.</w:t>
      </w:r>
      <w:r w:rsidR="00DF5D5A">
        <w:rPr>
          <w:lang w:val="en-US"/>
        </w:rPr>
        <w:t xml:space="preserve"> Consider the scenario shown in </w:t>
      </w:r>
      <w:r w:rsidR="00DF5D5A">
        <w:rPr>
          <w:lang w:val="en-US"/>
        </w:rPr>
        <w:fldChar w:fldCharType="begin"/>
      </w:r>
      <w:r w:rsidR="00DF5D5A">
        <w:rPr>
          <w:lang w:val="en-US"/>
        </w:rPr>
        <w:instrText xml:space="preserve"> REF _Ref527975821 \h </w:instrText>
      </w:r>
      <w:r w:rsidR="00DF5D5A">
        <w:rPr>
          <w:lang w:val="en-US"/>
        </w:rPr>
      </w:r>
      <w:r w:rsidR="00DF5D5A">
        <w:rPr>
          <w:lang w:val="en-US"/>
        </w:rPr>
        <w:fldChar w:fldCharType="separate"/>
      </w:r>
      <w:proofErr w:type="spellStart"/>
      <w:r w:rsidR="00DF5D5A">
        <w:t>Figure</w:t>
      </w:r>
      <w:proofErr w:type="spellEnd"/>
      <w:r w:rsidR="00DF5D5A">
        <w:t xml:space="preserve"> </w:t>
      </w:r>
      <w:r w:rsidR="00DF5D5A">
        <w:rPr>
          <w:noProof/>
        </w:rPr>
        <w:t>1</w:t>
      </w:r>
      <w:r w:rsidR="00DF5D5A">
        <w:rPr>
          <w:lang w:val="en-US"/>
        </w:rPr>
        <w:fldChar w:fldCharType="end"/>
      </w:r>
      <w:r w:rsidR="00DF5D5A">
        <w:rPr>
          <w:lang w:val="en-US"/>
        </w:rPr>
        <w:t xml:space="preserve">. In this scenario, there are different mobility patterns starting from cell-A towards the neighbor cells B, C and D. At the handover border between cell-A and cell-C/D, the coverage of cell-A is still quite good i.e., the RSRP of the cell-A as measured by the UE could be better than -110 dBm. However, at the handover border between cell-A and cell-B, the coverage of cell-A is bad and there i.e., the RSRP of the cell-A as measured by the UE could be worse than -120 dBm. </w:t>
      </w:r>
    </w:p>
    <w:p w14:paraId="7543DC00" w14:textId="42D21777" w:rsidR="00782AB4" w:rsidRDefault="00782AB4" w:rsidP="00782AB4">
      <w:pPr>
        <w:rPr>
          <w:lang w:val="en-US"/>
        </w:rPr>
      </w:pPr>
    </w:p>
    <w:p w14:paraId="41F255FE" w14:textId="43CB5E78" w:rsidR="00CA1A8C" w:rsidRDefault="00CA1A8C" w:rsidP="00782AB4">
      <w:pPr>
        <w:rPr>
          <w:lang w:val="en-US"/>
        </w:rPr>
      </w:pPr>
      <w:r>
        <w:rPr>
          <w:noProof/>
          <w:lang w:val="en-US"/>
        </w:rPr>
        <mc:AlternateContent>
          <mc:Choice Requires="wps">
            <w:drawing>
              <wp:anchor distT="0" distB="0" distL="114300" distR="114300" simplePos="0" relativeHeight="251660288" behindDoc="0" locked="0" layoutInCell="1" allowOverlap="1" wp14:anchorId="103ABBF9" wp14:editId="6EED6F9D">
                <wp:simplePos x="0" y="0"/>
                <wp:positionH relativeFrom="column">
                  <wp:posOffset>1604010</wp:posOffset>
                </wp:positionH>
                <wp:positionV relativeFrom="paragraph">
                  <wp:posOffset>1918970</wp:posOffset>
                </wp:positionV>
                <wp:extent cx="2171700" cy="733048"/>
                <wp:effectExtent l="0" t="0" r="19050" b="10160"/>
                <wp:wrapNone/>
                <wp:docPr id="14" name="Freeform: Shape 14"/>
                <wp:cNvGraphicFramePr/>
                <a:graphic xmlns:a="http://schemas.openxmlformats.org/drawingml/2006/main">
                  <a:graphicData uri="http://schemas.microsoft.com/office/word/2010/wordprocessingShape">
                    <wps:wsp>
                      <wps:cNvSpPr/>
                      <wps:spPr>
                        <a:xfrm>
                          <a:off x="0" y="0"/>
                          <a:ext cx="2171700" cy="733048"/>
                        </a:xfrm>
                        <a:custGeom>
                          <a:avLst/>
                          <a:gdLst>
                            <a:gd name="connsiteX0" fmla="*/ 0 w 2171700"/>
                            <a:gd name="connsiteY0" fmla="*/ 0 h 733048"/>
                            <a:gd name="connsiteX1" fmla="*/ 581025 w 2171700"/>
                            <a:gd name="connsiteY1" fmla="*/ 428625 h 733048"/>
                            <a:gd name="connsiteX2" fmla="*/ 1790700 w 2171700"/>
                            <a:gd name="connsiteY2" fmla="*/ 704850 h 733048"/>
                            <a:gd name="connsiteX3" fmla="*/ 2171700 w 2171700"/>
                            <a:gd name="connsiteY3" fmla="*/ 723900 h 733048"/>
                          </a:gdLst>
                          <a:ahLst/>
                          <a:cxnLst>
                            <a:cxn ang="0">
                              <a:pos x="connsiteX0" y="connsiteY0"/>
                            </a:cxn>
                            <a:cxn ang="0">
                              <a:pos x="connsiteX1" y="connsiteY1"/>
                            </a:cxn>
                            <a:cxn ang="0">
                              <a:pos x="connsiteX2" y="connsiteY2"/>
                            </a:cxn>
                            <a:cxn ang="0">
                              <a:pos x="connsiteX3" y="connsiteY3"/>
                            </a:cxn>
                          </a:cxnLst>
                          <a:rect l="l" t="t" r="r" b="b"/>
                          <a:pathLst>
                            <a:path w="2171700" h="733048">
                              <a:moveTo>
                                <a:pt x="0" y="0"/>
                              </a:moveTo>
                              <a:cubicBezTo>
                                <a:pt x="141287" y="155575"/>
                                <a:pt x="282575" y="311150"/>
                                <a:pt x="581025" y="428625"/>
                              </a:cubicBezTo>
                              <a:cubicBezTo>
                                <a:pt x="879475" y="546100"/>
                                <a:pt x="1525588" y="655638"/>
                                <a:pt x="1790700" y="704850"/>
                              </a:cubicBezTo>
                              <a:cubicBezTo>
                                <a:pt x="2055813" y="754063"/>
                                <a:pt x="2171700" y="723900"/>
                                <a:pt x="2171700" y="723900"/>
                              </a:cubicBezTo>
                            </a:path>
                          </a:pathLst>
                        </a:cu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F02DF9D" id="Freeform: Shape 14" o:spid="_x0000_s1026" style="position:absolute;margin-left:126.3pt;margin-top:151.1pt;width:171pt;height:57.7pt;z-index:251660288;visibility:visible;mso-wrap-style:square;mso-wrap-distance-left:9pt;mso-wrap-distance-top:0;mso-wrap-distance-right:9pt;mso-wrap-distance-bottom:0;mso-position-horizontal:absolute;mso-position-horizontal-relative:text;mso-position-vertical:absolute;mso-position-vertical-relative:text;v-text-anchor:middle" coordsize="2171700,7330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" path="m,c141287,155575,282575,311150,581025,428625v298450,117475,944563,227013,1209675,276225c2055813,754063,2171700,723900,2171700,723900e" filled="f" strokecolor="#375623 [1609]" strokeweight="1pt">
                <v:stroke joinstyle="miter"/>
                <v:path arrowok="t" o:connecttype="custom" o:connectlocs="0,0;581025,428625;1790700,704850;2171700,723900" o:connectangles="0,0,0,0"/>
              </v:shape>
            </w:pict>
          </mc:Fallback>
        </mc:AlternateContent>
      </w:r>
      <w:r>
        <w:rPr>
          <w:noProof/>
          <w:lang w:val="en-US"/>
        </w:rPr>
        <mc:AlternateContent>
          <mc:Choice Requires="wps">
            <w:drawing>
              <wp:anchor distT="0" distB="0" distL="114300" distR="114300" simplePos="0" relativeHeight="251659264" behindDoc="0" locked="0" layoutInCell="1" allowOverlap="1" wp14:anchorId="6B854A59" wp14:editId="35A2DB7F">
                <wp:simplePos x="0" y="0"/>
                <wp:positionH relativeFrom="column">
                  <wp:posOffset>1604010</wp:posOffset>
                </wp:positionH>
                <wp:positionV relativeFrom="paragraph">
                  <wp:posOffset>632475</wp:posOffset>
                </wp:positionV>
                <wp:extent cx="1666875" cy="1172195"/>
                <wp:effectExtent l="0" t="0" r="28575" b="28575"/>
                <wp:wrapNone/>
                <wp:docPr id="13" name="Freeform: Shape 13"/>
                <wp:cNvGraphicFramePr/>
                <a:graphic xmlns:a="http://schemas.openxmlformats.org/drawingml/2006/main">
                  <a:graphicData uri="http://schemas.microsoft.com/office/word/2010/wordprocessingShape">
                    <wps:wsp>
                      <wps:cNvSpPr/>
                      <wps:spPr>
                        <a:xfrm>
                          <a:off x="0" y="0"/>
                          <a:ext cx="1666875" cy="1172195"/>
                        </a:xfrm>
                        <a:custGeom>
                          <a:avLst/>
                          <a:gdLst>
                            <a:gd name="connsiteX0" fmla="*/ 0 w 1666875"/>
                            <a:gd name="connsiteY0" fmla="*/ 1172195 h 1172195"/>
                            <a:gd name="connsiteX1" fmla="*/ 733425 w 1666875"/>
                            <a:gd name="connsiteY1" fmla="*/ 829295 h 1172195"/>
                            <a:gd name="connsiteX2" fmla="*/ 1047750 w 1666875"/>
                            <a:gd name="connsiteY2" fmla="*/ 133970 h 1172195"/>
                            <a:gd name="connsiteX3" fmla="*/ 1666875 w 1666875"/>
                            <a:gd name="connsiteY3" fmla="*/ 620 h 1172195"/>
                          </a:gdLst>
                          <a:ahLst/>
                          <a:cxnLst>
                            <a:cxn ang="0">
                              <a:pos x="connsiteX0" y="connsiteY0"/>
                            </a:cxn>
                            <a:cxn ang="0">
                              <a:pos x="connsiteX1" y="connsiteY1"/>
                            </a:cxn>
                            <a:cxn ang="0">
                              <a:pos x="connsiteX2" y="connsiteY2"/>
                            </a:cxn>
                            <a:cxn ang="0">
                              <a:pos x="connsiteX3" y="connsiteY3"/>
                            </a:cxn>
                          </a:cxnLst>
                          <a:rect l="l" t="t" r="r" b="b"/>
                          <a:pathLst>
                            <a:path w="1666875" h="1172195">
                              <a:moveTo>
                                <a:pt x="0" y="1172195"/>
                              </a:moveTo>
                              <a:cubicBezTo>
                                <a:pt x="279400" y="1087263"/>
                                <a:pt x="558800" y="1002332"/>
                                <a:pt x="733425" y="829295"/>
                              </a:cubicBezTo>
                              <a:cubicBezTo>
                                <a:pt x="908050" y="656258"/>
                                <a:pt x="892175" y="272082"/>
                                <a:pt x="1047750" y="133970"/>
                              </a:cubicBezTo>
                              <a:cubicBezTo>
                                <a:pt x="1203325" y="-4143"/>
                                <a:pt x="1435100" y="-1762"/>
                                <a:pt x="1666875" y="620"/>
                              </a:cubicBezTo>
                            </a:path>
                          </a:pathLst>
                        </a:cu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CC0CA15" id="Freeform: Shape 13" o:spid="_x0000_s1026" style="position:absolute;margin-left:126.3pt;margin-top:49.8pt;width:131.25pt;height:92.3pt;z-index:251659264;visibility:visible;mso-wrap-style:square;mso-wrap-distance-left:9pt;mso-wrap-distance-top:0;mso-wrap-distance-right:9pt;mso-wrap-distance-bottom:0;mso-position-horizontal:absolute;mso-position-horizontal-relative:text;mso-position-vertical:absolute;mso-position-vertical-relative:text;v-text-anchor:middle" coordsize="1666875,1172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" path="m,1172195c279400,1087263,558800,1002332,733425,829295,908050,656258,892175,272082,1047750,133970,1203325,-4143,1435100,-1762,1666875,620e" filled="f" strokecolor="#c00000" strokeweight="1pt">
                <v:stroke joinstyle="miter"/>
                <v:path arrowok="t" o:connecttype="custom" o:connectlocs="0,1172195;733425,829295;1047750,133970;1666875,620" o:connectangles="0,0,0,0"/>
              </v:shape>
            </w:pict>
          </mc:Fallback>
        </mc:AlternateContent>
      </w:r>
      <w:r>
        <w:rPr>
          <w:noProof/>
          <w:lang w:val="en-US"/>
        </w:rPr>
        <mc:AlternateContent>
          <mc:Choice Requires="wpc">
            <w:drawing>
              <wp:inline distT="0" distB="0" distL="0" distR="0" wp14:anchorId="69ABD083" wp14:editId="18389004">
                <wp:extent cx="5486400" cy="3200400"/>
                <wp:effectExtent l="0" t="0" r="0" b="0"/>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Oval 4"/>
                        <wps:cNvSpPr/>
                        <wps:spPr>
                          <a:xfrm>
                            <a:off x="418125" y="1104900"/>
                            <a:ext cx="2228850" cy="1266825"/>
                          </a:xfrm>
                          <a:prstGeom prst="ellipse">
                            <a:avLst/>
                          </a:prstGeom>
                          <a:solidFill>
                            <a:schemeClr val="accent1">
                              <a:alpha val="54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Oval 5"/>
                        <wps:cNvSpPr/>
                        <wps:spPr>
                          <a:xfrm>
                            <a:off x="2446950" y="1189650"/>
                            <a:ext cx="2228850" cy="1266825"/>
                          </a:xfrm>
                          <a:prstGeom prst="ellipse">
                            <a:avLst/>
                          </a:prstGeom>
                          <a:solidFill>
                            <a:schemeClr val="accent6">
                              <a:lumMod val="20000"/>
                              <a:lumOff val="80000"/>
                              <a:alpha val="54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 name="Oval 6"/>
                        <wps:cNvSpPr/>
                        <wps:spPr>
                          <a:xfrm>
                            <a:off x="2008800" y="227625"/>
                            <a:ext cx="2228850" cy="1266825"/>
                          </a:xfrm>
                          <a:prstGeom prst="ellipse">
                            <a:avLst/>
                          </a:prstGeom>
                          <a:solidFill>
                            <a:schemeClr val="accent2">
                              <a:lumMod val="20000"/>
                              <a:lumOff val="80000"/>
                              <a:alpha val="54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 name="Oval 7"/>
                        <wps:cNvSpPr/>
                        <wps:spPr>
                          <a:xfrm>
                            <a:off x="1732575" y="1990725"/>
                            <a:ext cx="2228850" cy="1066800"/>
                          </a:xfrm>
                          <a:prstGeom prst="ellipse">
                            <a:avLst/>
                          </a:prstGeom>
                          <a:solidFill>
                            <a:schemeClr val="accent6">
                              <a:lumMod val="20000"/>
                              <a:lumOff val="80000"/>
                              <a:alpha val="54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 name="Text Box 8"/>
                        <wps:cNvSpPr txBox="1"/>
                        <wps:spPr>
                          <a:xfrm>
                            <a:off x="1076325" y="1666875"/>
                            <a:ext cx="521335" cy="400050"/>
                          </a:xfrm>
                          <a:prstGeom prst="rect">
                            <a:avLst/>
                          </a:prstGeom>
                          <a:noFill/>
                          <a:ln w="6350">
                            <a:noFill/>
                          </a:ln>
                        </wps:spPr>
                        <wps:txbx>
                          <w:txbxContent>
                            <w:p w14:paraId="0B3830E6" w14:textId="343172E5" w:rsidR="00CA1A8C" w:rsidRDefault="00CA1A8C">
                              <w:r>
                                <w:t>Cell-A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9" name="Text Box 8"/>
                        <wps:cNvSpPr txBox="1"/>
                        <wps:spPr>
                          <a:xfrm>
                            <a:off x="3494700" y="1532550"/>
                            <a:ext cx="514985" cy="400050"/>
                          </a:xfrm>
                          <a:prstGeom prst="rect">
                            <a:avLst/>
                          </a:prstGeom>
                          <a:noFill/>
                          <a:ln w="6350">
                            <a:noFill/>
                          </a:ln>
                        </wps:spPr>
                        <wps:txbx>
                          <w:txbxContent>
                            <w:p w14:paraId="1F0A6DE9" w14:textId="57B15484" w:rsidR="00CA1A8C" w:rsidRDefault="00CA1A8C" w:rsidP="00CA1A8C">
                              <w:pPr>
                                <w:pStyle w:val="NormalWeb"/>
                                <w:spacing w:before="0" w:beforeAutospacing="0" w:after="160" w:afterAutospacing="0" w:line="256" w:lineRule="auto"/>
                              </w:pPr>
                              <w:r>
                                <w:rPr>
                                  <w:rFonts w:ascii="Calibri" w:eastAsia="Calibri" w:hAnsi="Calibri"/>
                                  <w:sz w:val="22"/>
                                  <w:szCs w:val="22"/>
                                </w:rPr>
                                <w:t>Cell-C</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1" name="Text Box 8"/>
                        <wps:cNvSpPr txBox="1"/>
                        <wps:spPr>
                          <a:xfrm>
                            <a:off x="2885100" y="694350"/>
                            <a:ext cx="516255" cy="400050"/>
                          </a:xfrm>
                          <a:prstGeom prst="rect">
                            <a:avLst/>
                          </a:prstGeom>
                          <a:noFill/>
                          <a:ln w="6350">
                            <a:noFill/>
                          </a:ln>
                        </wps:spPr>
                        <wps:txbx>
                          <w:txbxContent>
                            <w:p w14:paraId="1C8A52B6" w14:textId="4BEF2AEF" w:rsidR="00CA1A8C" w:rsidRDefault="00CA1A8C" w:rsidP="00CA1A8C">
                              <w:pPr>
                                <w:pStyle w:val="NormalWeb"/>
                                <w:spacing w:before="0" w:beforeAutospacing="0" w:after="160" w:afterAutospacing="0" w:line="256" w:lineRule="auto"/>
                              </w:pPr>
                              <w:r>
                                <w:rPr>
                                  <w:rFonts w:ascii="Calibri" w:eastAsia="Calibri" w:hAnsi="Calibri"/>
                                  <w:sz w:val="22"/>
                                  <w:szCs w:val="22"/>
                                </w:rPr>
                                <w:t>Cell-B</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2" name="Text Box 8"/>
                        <wps:cNvSpPr txBox="1"/>
                        <wps:spPr>
                          <a:xfrm>
                            <a:off x="2456475" y="2408850"/>
                            <a:ext cx="526415" cy="400050"/>
                          </a:xfrm>
                          <a:prstGeom prst="rect">
                            <a:avLst/>
                          </a:prstGeom>
                          <a:noFill/>
                          <a:ln w="6350">
                            <a:noFill/>
                          </a:ln>
                        </wps:spPr>
                        <wps:txbx>
                          <w:txbxContent>
                            <w:p w14:paraId="4BB3D423" w14:textId="5F851EDF" w:rsidR="00CA1A8C" w:rsidRDefault="00CA1A8C" w:rsidP="00CA1A8C">
                              <w:pPr>
                                <w:pStyle w:val="NormalWeb"/>
                                <w:spacing w:before="0" w:beforeAutospacing="0" w:after="160" w:afterAutospacing="0" w:line="256" w:lineRule="auto"/>
                              </w:pPr>
                              <w:r>
                                <w:rPr>
                                  <w:rFonts w:ascii="Calibri" w:eastAsia="Calibri" w:hAnsi="Calibri"/>
                                  <w:sz w:val="22"/>
                                  <w:szCs w:val="22"/>
                                </w:rPr>
                                <w:t>Cell-D</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6" name="Freeform: Shape 16"/>
                        <wps:cNvSpPr/>
                        <wps:spPr>
                          <a:xfrm>
                            <a:off x="1695450" y="1658052"/>
                            <a:ext cx="2809875" cy="298788"/>
                          </a:xfrm>
                          <a:custGeom>
                            <a:avLst/>
                            <a:gdLst>
                              <a:gd name="connsiteX0" fmla="*/ 0 w 2809875"/>
                              <a:gd name="connsiteY0" fmla="*/ 208848 h 298788"/>
                              <a:gd name="connsiteX1" fmla="*/ 981075 w 2809875"/>
                              <a:gd name="connsiteY1" fmla="*/ 85023 h 298788"/>
                              <a:gd name="connsiteX2" fmla="*/ 1733550 w 2809875"/>
                              <a:gd name="connsiteY2" fmla="*/ 8823 h 298788"/>
                              <a:gd name="connsiteX3" fmla="*/ 2343150 w 2809875"/>
                              <a:gd name="connsiteY3" fmla="*/ 294573 h 298788"/>
                              <a:gd name="connsiteX4" fmla="*/ 2809875 w 2809875"/>
                              <a:gd name="connsiteY4" fmla="*/ 180273 h 29878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09875" h="298788">
                                <a:moveTo>
                                  <a:pt x="0" y="208848"/>
                                </a:moveTo>
                                <a:lnTo>
                                  <a:pt x="981075" y="85023"/>
                                </a:lnTo>
                                <a:cubicBezTo>
                                  <a:pt x="1270000" y="51686"/>
                                  <a:pt x="1506538" y="-26102"/>
                                  <a:pt x="1733550" y="8823"/>
                                </a:cubicBezTo>
                                <a:cubicBezTo>
                                  <a:pt x="1960562" y="43748"/>
                                  <a:pt x="2163763" y="265998"/>
                                  <a:pt x="2343150" y="294573"/>
                                </a:cubicBezTo>
                                <a:cubicBezTo>
                                  <a:pt x="2522537" y="323148"/>
                                  <a:pt x="2722563" y="197735"/>
                                  <a:pt x="2809875" y="180273"/>
                                </a:cubicBezTo>
                              </a:path>
                            </a:pathLst>
                          </a:cu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69ABD083" id="Canvas 3" o:spid="_x0000_s1026"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2004;visibility:visible;mso-wrap-style:square">
                  <v:fill o:detectmouseclick="t"/>
                  <v:path o:connecttype="none"/>
                </v:shape>
                <v:oval id="Oval 4" o:spid="_x0000_s1028" style="position:absolute;left:4181;top:11049;width:22288;height:126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" fillcolor="#5b9bd5 [3204]" strokecolor="#1f4d78 [1604]" strokeweight="1pt">
                  <v:fill opacity="35466f"/>
                  <v:stroke joinstyle="miter"/>
                </v:oval>
                <v:oval id="Oval 5" o:spid="_x0000_s1029" style="position:absolute;left:24469;top:11896;width:22289;height:126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" fillcolor="#e2efd9 [665]" strokecolor="#1f4d78 [1604]" strokeweight="1pt">
                  <v:fill opacity="35466f"/>
                  <v:stroke joinstyle="miter"/>
                </v:oval>
                <v:oval id="Oval 6" o:spid="_x0000_s1030" style="position:absolute;left:20088;top:2276;width:22288;height:126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" fillcolor="#fbe4d5 [661]" strokecolor="#1f4d78 [1604]" strokeweight="1pt">
                  <v:fill opacity="35466f"/>
                  <v:stroke joinstyle="miter"/>
                </v:oval>
                <v:oval id="Oval 7" o:spid="_x0000_s1031" style="position:absolute;left:17325;top:19907;width:22289;height:106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" fillcolor="#e2efd9 [665]" strokecolor="#1f4d78 [1604]" strokeweight="1pt">
                  <v:fill opacity="35466f"/>
                  <v:stroke joinstyle="miter"/>
                </v:oval>
                <v:shapetype id="_x0000_t202" coordsize="21600,21600" o:spt="202" path="m,l,21600r21600,l21600,xe">
                  <v:stroke joinstyle="miter"/>
                  <v:path gradientshapeok="t" o:connecttype="rect"/>
                </v:shapetype>
                <v:shape id="Text Box 8" o:spid="_x0000_s1032" type="#_x0000_t202" style="position:absolute;left:10763;top:16668;width:5213;height:4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" filled="f" stroked="f" strokeweight=".5pt">
                  <v:textbox>
                    <w:txbxContent>
                      <w:p w14:paraId="0B3830E6" w14:textId="343172E5" w:rsidR="00CA1A8C" w:rsidRDefault="00CA1A8C">
                        <w:r>
                          <w:t>Cell-A</w:t>
                        </w:r>
                      </w:p>
                    </w:txbxContent>
                  </v:textbox>
                </v:shape>
                <v:shape id="Text Box 8" o:spid="_x0000_s1033" type="#_x0000_t202" style="position:absolute;left:34947;top:15325;width:5149;height:4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" filled="f" stroked="f" strokeweight=".5pt">
                  <v:textbox>
                    <w:txbxContent>
                      <w:p w14:paraId="1F0A6DE9" w14:textId="57B15484" w:rsidR="00CA1A8C" w:rsidRDefault="00CA1A8C" w:rsidP="00CA1A8C">
                        <w:pPr>
                          <w:pStyle w:val="NormalWeb"/>
                          <w:spacing w:before="0" w:beforeAutospacing="0" w:after="160" w:afterAutospacing="0" w:line="256" w:lineRule="auto"/>
                        </w:pPr>
                        <w:r>
                          <w:rPr>
                            <w:rFonts w:ascii="Calibri" w:eastAsia="Calibri" w:hAnsi="Calibri"/>
                            <w:sz w:val="22"/>
                            <w:szCs w:val="22"/>
                          </w:rPr>
                          <w:t>Cell-C</w:t>
                        </w:r>
                      </w:p>
                    </w:txbxContent>
                  </v:textbox>
                </v:shape>
                <v:shape id="Text Box 8" o:spid="_x0000_s1034" type="#_x0000_t202" style="position:absolute;left:28851;top:6943;width:5162;height:4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" filled="f" stroked="f" strokeweight=".5pt">
                  <v:textbox>
                    <w:txbxContent>
                      <w:p w14:paraId="1C8A52B6" w14:textId="4BEF2AEF" w:rsidR="00CA1A8C" w:rsidRDefault="00CA1A8C" w:rsidP="00CA1A8C">
                        <w:pPr>
                          <w:pStyle w:val="NormalWeb"/>
                          <w:spacing w:before="0" w:beforeAutospacing="0" w:after="160" w:afterAutospacing="0" w:line="256" w:lineRule="auto"/>
                        </w:pPr>
                        <w:r>
                          <w:rPr>
                            <w:rFonts w:ascii="Calibri" w:eastAsia="Calibri" w:hAnsi="Calibri"/>
                            <w:sz w:val="22"/>
                            <w:szCs w:val="22"/>
                          </w:rPr>
                          <w:t>Cell-B</w:t>
                        </w:r>
                      </w:p>
                    </w:txbxContent>
                  </v:textbox>
                </v:shape>
                <v:shape id="Text Box 8" o:spid="_x0000_s1035" type="#_x0000_t202" style="position:absolute;left:24564;top:24088;width:5264;height:4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" filled="f" stroked="f" strokeweight=".5pt">
                  <v:textbox>
                    <w:txbxContent>
                      <w:p w14:paraId="4BB3D423" w14:textId="5F851EDF" w:rsidR="00CA1A8C" w:rsidRDefault="00CA1A8C" w:rsidP="00CA1A8C">
                        <w:pPr>
                          <w:pStyle w:val="NormalWeb"/>
                          <w:spacing w:before="0" w:beforeAutospacing="0" w:after="160" w:afterAutospacing="0" w:line="256" w:lineRule="auto"/>
                        </w:pPr>
                        <w:r>
                          <w:rPr>
                            <w:rFonts w:ascii="Calibri" w:eastAsia="Calibri" w:hAnsi="Calibri"/>
                            <w:sz w:val="22"/>
                            <w:szCs w:val="22"/>
                          </w:rPr>
                          <w:t>Cell-D</w:t>
                        </w:r>
                      </w:p>
                    </w:txbxContent>
                  </v:textbox>
                </v:shape>
                <v:shape id="Freeform: Shape 16" o:spid="_x0000_s1036" style="position:absolute;left:16954;top:16580;width:28099;height:2988;visibility:visible;mso-wrap-style:square;v-text-anchor:middle" coordsize="2809875,2987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" path="m,208848l981075,85023c1270000,51686,1506538,-26102,1733550,8823v227012,34925,430213,257175,609600,285750c2522537,323148,2722563,197735,2809875,180273e" filled="f" strokecolor="#375623 [1609]" strokeweight="1pt">
                  <v:stroke joinstyle="miter"/>
                  <v:path arrowok="t" o:connecttype="custom" o:connectlocs="0,208848;981075,85023;1733550,8823;2343150,294573;2809875,180273" o:connectangles="0,0,0,0,0"/>
                </v:shape>
                <w10:anchorlock/>
              </v:group>
            </w:pict>
          </mc:Fallback>
        </mc:AlternateContent>
      </w:r>
    </w:p>
    <w:p w14:paraId="6BF3F86F" w14:textId="5BF4FFD8" w:rsidR="00CA1A8C" w:rsidRDefault="00CA1A8C" w:rsidP="00CA1A8C">
      <w:pPr>
        <w:pStyle w:val="Caption"/>
        <w:rPr>
          <w:lang w:val="en-US"/>
        </w:rPr>
      </w:pPr>
      <w:bookmarkStart w:id="18" w:name="_Ref527975821"/>
      <w:r>
        <w:t xml:space="preserve">Figure </w:t>
      </w:r>
      <w:r w:rsidR="00B124D0">
        <w:rPr>
          <w:noProof/>
        </w:rPr>
        <w:fldChar w:fldCharType="begin"/>
      </w:r>
      <w:r w:rsidR="00B124D0">
        <w:rPr>
          <w:noProof/>
        </w:rPr>
        <w:instrText xml:space="preserve"> SEQ Figure \* ARABIC </w:instrText>
      </w:r>
      <w:r w:rsidR="00B124D0">
        <w:rPr>
          <w:noProof/>
        </w:rPr>
        <w:fldChar w:fldCharType="separate"/>
      </w:r>
      <w:r>
        <w:rPr>
          <w:noProof/>
        </w:rPr>
        <w:t>1</w:t>
      </w:r>
      <w:r w:rsidR="00B124D0">
        <w:rPr>
          <w:noProof/>
        </w:rPr>
        <w:fldChar w:fldCharType="end"/>
      </w:r>
      <w:bookmarkEnd w:id="18"/>
      <w:r>
        <w:t xml:space="preserve"> : Scenario involving </w:t>
      </w:r>
      <w:r w:rsidR="00DF5D5A">
        <w:t>different types (poor coverage (towards cell-B) vs good coverage (towards cell-C and cell-D)) of handover borders between cell-A and neighbouring cells</w:t>
      </w:r>
      <w:r>
        <w:t xml:space="preserve"> </w:t>
      </w:r>
    </w:p>
    <w:p w14:paraId="252416CA" w14:textId="66751E26" w:rsidR="00CA1A8C" w:rsidRDefault="00DF5D5A" w:rsidP="00782AB4">
      <w:pPr>
        <w:rPr>
          <w:lang w:val="en-US"/>
        </w:rPr>
      </w:pPr>
      <w:r>
        <w:rPr>
          <w:lang w:val="en-US"/>
        </w:rPr>
        <w:t xml:space="preserve">At the handover border between cell-A and cell-C/D, the UE can send a A3 measurement report to cell-A including the beam level measurements of the serving cell </w:t>
      </w:r>
      <w:proofErr w:type="gramStart"/>
      <w:r>
        <w:rPr>
          <w:lang w:val="en-US"/>
        </w:rPr>
        <w:t>and also</w:t>
      </w:r>
      <w:proofErr w:type="gramEnd"/>
      <w:r>
        <w:rPr>
          <w:lang w:val="en-US"/>
        </w:rPr>
        <w:t xml:space="preserve"> the cell that triggered the measurement report. As the UL quality is expected to be good in this scenario, the probability of successful transmission of measurement report from the UE will be high. However, at the handover border between cell-A and cell-B, if the UE sends a A3 measurement report to cell-A including the beam level measurements of the serving cell and also the cell that triggered the measurement report, then the probability of successful transmission of measurement report from the UE will be low as the UL quality will be poor from the </w:t>
      </w:r>
      <w:r w:rsidR="00945792">
        <w:rPr>
          <w:lang w:val="en-US"/>
        </w:rPr>
        <w:t>UE to the serving cell, cell-A</w:t>
      </w:r>
      <w:r>
        <w:rPr>
          <w:lang w:val="en-US"/>
        </w:rPr>
        <w:t>.</w:t>
      </w:r>
      <w:r w:rsidR="00945792">
        <w:rPr>
          <w:lang w:val="en-US"/>
        </w:rPr>
        <w:t xml:space="preserve"> Based on this scenario related discussion, we can observe that it becomes difficult to configure </w:t>
      </w:r>
      <w:proofErr w:type="spellStart"/>
      <w:r w:rsidR="00945792" w:rsidRPr="00945792">
        <w:rPr>
          <w:i/>
          <w:lang w:val="en-US"/>
        </w:rPr>
        <w:t>reportConfig</w:t>
      </w:r>
      <w:proofErr w:type="spellEnd"/>
      <w:r w:rsidR="00945792">
        <w:rPr>
          <w:lang w:val="en-US"/>
        </w:rPr>
        <w:t xml:space="preserve"> in scenarios where the handover borders of a cell includes both coverage limited and good coverage scenarios. </w:t>
      </w:r>
    </w:p>
    <w:p w14:paraId="7F957678" w14:textId="71D86FAD" w:rsidR="00945792" w:rsidRDefault="00945792" w:rsidP="00945792">
      <w:pPr>
        <w:pStyle w:val="Observation"/>
        <w:rPr>
          <w:lang w:val="en-US"/>
        </w:rPr>
      </w:pPr>
      <w:bookmarkStart w:id="19" w:name="_Toc527983259"/>
      <w:r>
        <w:rPr>
          <w:lang w:val="en-US"/>
        </w:rPr>
        <w:t xml:space="preserve">It is difficult to configure </w:t>
      </w:r>
      <w:proofErr w:type="spellStart"/>
      <w:r w:rsidRPr="00945792">
        <w:rPr>
          <w:i/>
          <w:lang w:val="en-US"/>
        </w:rPr>
        <w:t>reportConfig</w:t>
      </w:r>
      <w:proofErr w:type="spellEnd"/>
      <w:r>
        <w:rPr>
          <w:lang w:val="en-US"/>
        </w:rPr>
        <w:t xml:space="preserve"> in scenarios where the handover borders of a cell </w:t>
      </w:r>
      <w:r w:rsidR="00076FC5">
        <w:rPr>
          <w:lang w:val="en-US"/>
        </w:rPr>
        <w:t>include</w:t>
      </w:r>
      <w:r>
        <w:rPr>
          <w:lang w:val="en-US"/>
        </w:rPr>
        <w:t xml:space="preserve"> both </w:t>
      </w:r>
      <w:r w:rsidR="00076FC5">
        <w:rPr>
          <w:lang w:val="en-US"/>
        </w:rPr>
        <w:t xml:space="preserve">UL </w:t>
      </w:r>
      <w:r>
        <w:rPr>
          <w:lang w:val="en-US"/>
        </w:rPr>
        <w:t xml:space="preserve">coverage limited and good </w:t>
      </w:r>
      <w:r w:rsidR="00076FC5">
        <w:rPr>
          <w:lang w:val="en-US"/>
        </w:rPr>
        <w:t xml:space="preserve">UL </w:t>
      </w:r>
      <w:r>
        <w:rPr>
          <w:lang w:val="en-US"/>
        </w:rPr>
        <w:t>coverage scenarios.</w:t>
      </w:r>
      <w:bookmarkEnd w:id="19"/>
    </w:p>
    <w:p w14:paraId="3612856D" w14:textId="1D1B9D99" w:rsidR="00945792" w:rsidRPr="002005F0" w:rsidRDefault="004774E7" w:rsidP="00782AB4">
      <w:pPr>
        <w:rPr>
          <w:lang w:val="en-US"/>
        </w:rPr>
      </w:pPr>
      <w:r>
        <w:rPr>
          <w:lang w:val="en-US"/>
        </w:rPr>
        <w:t xml:space="preserve">The network could configure a </w:t>
      </w:r>
      <w:r w:rsidR="00C34BAC">
        <w:rPr>
          <w:lang w:val="en-US"/>
        </w:rPr>
        <w:t xml:space="preserve">conditional </w:t>
      </w:r>
      <w:r>
        <w:rPr>
          <w:lang w:val="en-US"/>
        </w:rPr>
        <w:t xml:space="preserve">method to reduce the measurement report overhead for the UE that is in poor radio conditions. </w:t>
      </w:r>
      <w:r w:rsidR="00C34BAC">
        <w:rPr>
          <w:lang w:val="en-US"/>
        </w:rPr>
        <w:t xml:space="preserve">Upon fulfilling the configured condition, the UE shall reduce the measurement report by not transmitting the beam level measurements and/or all the serving cell and best neighbor cell measurements in the serving frequencies. </w:t>
      </w:r>
      <w:r>
        <w:rPr>
          <w:lang w:val="en-US"/>
        </w:rPr>
        <w:t xml:space="preserve">The conditional reduction could be based on the measurement quantity being compared against a network configured threshold, or the number of failed </w:t>
      </w:r>
      <w:r w:rsidR="00C34BAC">
        <w:rPr>
          <w:lang w:val="en-US"/>
        </w:rPr>
        <w:t xml:space="preserve">UL transmissions from the UE or when the RLF timer is running etc. </w:t>
      </w:r>
    </w:p>
    <w:p w14:paraId="22A9CBCB" w14:textId="77777777" w:rsidR="00C34BAC" w:rsidRDefault="00C34BAC" w:rsidP="00C0683B">
      <w:pPr>
        <w:pStyle w:val="Proposal"/>
        <w:tabs>
          <w:tab w:val="num" w:pos="1701"/>
        </w:tabs>
        <w:rPr>
          <w:rFonts w:cs="Arial"/>
          <w:lang w:val="en-US"/>
        </w:rPr>
      </w:pPr>
      <w:bookmarkStart w:id="20" w:name="_Toc502931799"/>
      <w:bookmarkStart w:id="21" w:name="_Toc502953342"/>
      <w:bookmarkStart w:id="22" w:name="_Toc502953533"/>
      <w:bookmarkStart w:id="23" w:name="_Toc502953577"/>
      <w:bookmarkStart w:id="24" w:name="_Toc502953597"/>
      <w:bookmarkStart w:id="25" w:name="_Toc503171544"/>
      <w:bookmarkStart w:id="26" w:name="_Toc503171548"/>
      <w:bookmarkStart w:id="27" w:name="_Toc525212324"/>
      <w:bookmarkStart w:id="28" w:name="_Toc525282357"/>
      <w:bookmarkStart w:id="29" w:name="_Toc525659434"/>
      <w:bookmarkStart w:id="30" w:name="_Toc525662091"/>
      <w:bookmarkStart w:id="31" w:name="_Toc525733053"/>
      <w:bookmarkStart w:id="32" w:name="_Toc525733599"/>
      <w:bookmarkStart w:id="33" w:name="_Toc527353098"/>
      <w:bookmarkStart w:id="34" w:name="_Toc527380486"/>
      <w:bookmarkStart w:id="35" w:name="_Toc527983260"/>
      <w:bookmarkStart w:id="36" w:name="_Toc527988628"/>
      <w:r>
        <w:rPr>
          <w:rFonts w:cs="Arial"/>
          <w:lang w:val="en-US"/>
        </w:rPr>
        <w:t>Measurement report size reduction based on network configured conditions being fulfilled is supported</w:t>
      </w:r>
      <w:r w:rsidR="00BA00E8" w:rsidRPr="00D80827">
        <w:rPr>
          <w:rFonts w:cs="Arial"/>
          <w:lang w:val="en-US"/>
        </w:rPr>
        <w:t>.</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FA39426" w14:textId="4F5FEB11" w:rsidR="00C34BAC" w:rsidRDefault="00C34BAC" w:rsidP="00C0683B">
      <w:pPr>
        <w:pStyle w:val="Proposal"/>
        <w:tabs>
          <w:tab w:val="num" w:pos="1701"/>
        </w:tabs>
        <w:rPr>
          <w:rFonts w:cs="Arial"/>
          <w:lang w:val="en-US"/>
        </w:rPr>
      </w:pPr>
      <w:bookmarkStart w:id="37" w:name="_Toc527983261"/>
      <w:bookmarkStart w:id="38" w:name="_Toc527988629"/>
      <w:r>
        <w:rPr>
          <w:rFonts w:cs="Arial"/>
          <w:lang w:val="en-US"/>
        </w:rPr>
        <w:t xml:space="preserve">At least one of the following </w:t>
      </w:r>
      <w:proofErr w:type="gramStart"/>
      <w:r>
        <w:rPr>
          <w:rFonts w:cs="Arial"/>
          <w:lang w:val="en-US"/>
        </w:rPr>
        <w:t>network</w:t>
      </w:r>
      <w:proofErr w:type="gramEnd"/>
      <w:r>
        <w:rPr>
          <w:rFonts w:cs="Arial"/>
          <w:lang w:val="en-US"/>
        </w:rPr>
        <w:t xml:space="preserve"> configured condition upon which the UE can reduce the measurement report size is supported;</w:t>
      </w:r>
      <w:bookmarkEnd w:id="37"/>
      <w:bookmarkEnd w:id="38"/>
    </w:p>
    <w:p w14:paraId="2DC9D580" w14:textId="2ACD426F" w:rsidR="00C34BAC" w:rsidRDefault="00C34BAC" w:rsidP="00C34BAC">
      <w:pPr>
        <w:pStyle w:val="Proposal"/>
        <w:numPr>
          <w:ilvl w:val="1"/>
          <w:numId w:val="3"/>
        </w:numPr>
        <w:tabs>
          <w:tab w:val="clear" w:pos="1701"/>
        </w:tabs>
        <w:rPr>
          <w:rFonts w:cs="Arial"/>
          <w:lang w:val="en-US"/>
        </w:rPr>
      </w:pPr>
      <w:bookmarkStart w:id="39" w:name="_Toc527983262"/>
      <w:bookmarkStart w:id="40" w:name="_Toc527988630"/>
      <w:r>
        <w:rPr>
          <w:rFonts w:cs="Arial"/>
          <w:lang w:val="en-US"/>
        </w:rPr>
        <w:t>Measurement quantity meeting network configured threshold</w:t>
      </w:r>
      <w:bookmarkEnd w:id="39"/>
      <w:bookmarkEnd w:id="40"/>
    </w:p>
    <w:p w14:paraId="1F7A61EF" w14:textId="4CDAC996" w:rsidR="00C34BAC" w:rsidRDefault="00C34BAC" w:rsidP="00C34BAC">
      <w:pPr>
        <w:pStyle w:val="Proposal"/>
        <w:numPr>
          <w:ilvl w:val="1"/>
          <w:numId w:val="3"/>
        </w:numPr>
        <w:tabs>
          <w:tab w:val="clear" w:pos="1701"/>
        </w:tabs>
        <w:rPr>
          <w:rFonts w:cs="Arial"/>
          <w:lang w:val="en-US"/>
        </w:rPr>
      </w:pPr>
      <w:bookmarkStart w:id="41" w:name="_Toc527983263"/>
      <w:bookmarkStart w:id="42" w:name="_Toc527988631"/>
      <w:r>
        <w:rPr>
          <w:rFonts w:cs="Arial"/>
          <w:lang w:val="en-US"/>
        </w:rPr>
        <w:lastRenderedPageBreak/>
        <w:t>Failed transmission of the measurement report</w:t>
      </w:r>
      <w:bookmarkEnd w:id="41"/>
      <w:bookmarkEnd w:id="42"/>
    </w:p>
    <w:p w14:paraId="00745271" w14:textId="7A2DCD12" w:rsidR="00C34BAC" w:rsidRDefault="00C34BAC" w:rsidP="00C34BAC">
      <w:pPr>
        <w:pStyle w:val="Proposal"/>
        <w:numPr>
          <w:ilvl w:val="1"/>
          <w:numId w:val="3"/>
        </w:numPr>
        <w:tabs>
          <w:tab w:val="clear" w:pos="1701"/>
        </w:tabs>
        <w:rPr>
          <w:rFonts w:cs="Arial"/>
          <w:lang w:val="en-US"/>
        </w:rPr>
      </w:pPr>
      <w:bookmarkStart w:id="43" w:name="_Toc527983264"/>
      <w:bookmarkStart w:id="44" w:name="_Toc527988632"/>
      <w:r>
        <w:rPr>
          <w:rFonts w:cs="Arial"/>
          <w:lang w:val="en-US"/>
        </w:rPr>
        <w:t>Status of T310</w:t>
      </w:r>
      <w:bookmarkEnd w:id="43"/>
      <w:bookmarkEnd w:id="44"/>
      <w:r>
        <w:rPr>
          <w:rFonts w:cs="Arial"/>
          <w:lang w:val="en-US"/>
        </w:rPr>
        <w:t xml:space="preserve"> </w:t>
      </w:r>
    </w:p>
    <w:p w14:paraId="5C0C11AE" w14:textId="71BA537B" w:rsidR="008E7D4F" w:rsidRDefault="00C34BAC" w:rsidP="00C0683B">
      <w:pPr>
        <w:pStyle w:val="Proposal"/>
        <w:tabs>
          <w:tab w:val="num" w:pos="1701"/>
        </w:tabs>
        <w:rPr>
          <w:rFonts w:cs="Arial"/>
          <w:lang w:val="en-US"/>
        </w:rPr>
      </w:pPr>
      <w:bookmarkStart w:id="45" w:name="_Toc527983265"/>
      <w:bookmarkStart w:id="46" w:name="_Toc527988633"/>
      <w:r>
        <w:rPr>
          <w:rFonts w:cs="Arial"/>
          <w:lang w:val="en-US"/>
        </w:rPr>
        <w:t>Network can configure as to which part of the measurement report the UE shall exclude when the configured conditions are met.</w:t>
      </w:r>
      <w:bookmarkEnd w:id="45"/>
      <w:r>
        <w:rPr>
          <w:rFonts w:cs="Arial"/>
          <w:lang w:val="en-US"/>
        </w:rPr>
        <w:t xml:space="preserve"> </w:t>
      </w:r>
      <w:r w:rsidR="00927370">
        <w:rPr>
          <w:rFonts w:cs="Arial"/>
          <w:lang w:val="en-US"/>
        </w:rPr>
        <w:t>At least one or more of the following possibilities are included;</w:t>
      </w:r>
      <w:bookmarkEnd w:id="46"/>
    </w:p>
    <w:p w14:paraId="5A73DC15" w14:textId="018E1362" w:rsidR="00927370" w:rsidRDefault="00927370" w:rsidP="00927370">
      <w:pPr>
        <w:pStyle w:val="Proposal"/>
        <w:numPr>
          <w:ilvl w:val="1"/>
          <w:numId w:val="3"/>
        </w:numPr>
        <w:tabs>
          <w:tab w:val="clear" w:pos="1701"/>
        </w:tabs>
        <w:rPr>
          <w:rFonts w:cs="Arial"/>
          <w:lang w:val="en-US"/>
        </w:rPr>
      </w:pPr>
      <w:bookmarkStart w:id="47" w:name="_Toc527988634"/>
      <w:r>
        <w:rPr>
          <w:rFonts w:cs="Arial"/>
          <w:lang w:val="en-US"/>
        </w:rPr>
        <w:t>Beam measurements are excluded</w:t>
      </w:r>
      <w:bookmarkEnd w:id="47"/>
    </w:p>
    <w:p w14:paraId="6C7CB377" w14:textId="500D6D64" w:rsidR="00927370" w:rsidRDefault="00927370" w:rsidP="00927370">
      <w:pPr>
        <w:pStyle w:val="Proposal"/>
        <w:numPr>
          <w:ilvl w:val="1"/>
          <w:numId w:val="3"/>
        </w:numPr>
        <w:tabs>
          <w:tab w:val="clear" w:pos="1701"/>
        </w:tabs>
        <w:rPr>
          <w:rFonts w:cs="Arial"/>
          <w:lang w:val="en-US"/>
        </w:rPr>
      </w:pPr>
      <w:bookmarkStart w:id="48" w:name="_Toc527988635"/>
      <w:r>
        <w:rPr>
          <w:rFonts w:cs="Arial"/>
          <w:lang w:val="en-US"/>
        </w:rPr>
        <w:t>Serving cell measurements are excluded</w:t>
      </w:r>
      <w:bookmarkEnd w:id="48"/>
    </w:p>
    <w:p w14:paraId="1421925E" w14:textId="106C81C6" w:rsidR="00927370" w:rsidRDefault="00927370" w:rsidP="00927370">
      <w:pPr>
        <w:pStyle w:val="Proposal"/>
        <w:numPr>
          <w:ilvl w:val="1"/>
          <w:numId w:val="3"/>
        </w:numPr>
        <w:tabs>
          <w:tab w:val="clear" w:pos="1701"/>
        </w:tabs>
        <w:rPr>
          <w:rFonts w:cs="Arial"/>
          <w:lang w:val="en-US"/>
        </w:rPr>
      </w:pPr>
      <w:bookmarkStart w:id="49" w:name="_Toc527988636"/>
      <w:r>
        <w:rPr>
          <w:rFonts w:cs="Arial"/>
          <w:lang w:val="en-US"/>
        </w:rPr>
        <w:t>Best neighbor cell measurements in serving frequencies are excluded</w:t>
      </w:r>
      <w:bookmarkEnd w:id="49"/>
    </w:p>
    <w:p w14:paraId="2FC25B21" w14:textId="2F50541F" w:rsidR="00AE7830" w:rsidRPr="00C0683B" w:rsidRDefault="00C4003B" w:rsidP="00AE7830">
      <w:pPr>
        <w:rPr>
          <w:lang w:val="en-US"/>
        </w:rPr>
      </w:pPr>
      <w:r>
        <w:rPr>
          <w:lang w:val="en-US"/>
        </w:rPr>
        <w:t xml:space="preserve">If the above proposals are agreed, we are happy to produce CRs in a backwards compatible way </w:t>
      </w:r>
      <w:r w:rsidR="00E229A8">
        <w:rPr>
          <w:lang w:val="en-US"/>
        </w:rPr>
        <w:t xml:space="preserve">(with capability bits for the same) </w:t>
      </w:r>
      <w:r>
        <w:rPr>
          <w:lang w:val="en-US"/>
        </w:rPr>
        <w:t>to capture the agreement</w:t>
      </w:r>
      <w:r w:rsidR="00AE7830">
        <w:rPr>
          <w:lang w:val="en-US"/>
        </w:rPr>
        <w:t xml:space="preserve">. </w:t>
      </w:r>
      <w:r w:rsidR="00927370">
        <w:rPr>
          <w:lang w:val="en-US"/>
        </w:rPr>
        <w:t xml:space="preserve"> </w:t>
      </w:r>
    </w:p>
    <w:p w14:paraId="2FD8B335" w14:textId="77777777" w:rsidR="00C01F33" w:rsidRPr="00CE0424" w:rsidRDefault="00C01F33" w:rsidP="00CE0424">
      <w:pPr>
        <w:pStyle w:val="Heading1"/>
      </w:pPr>
      <w:r w:rsidRPr="00CE0424">
        <w:t>Conclusion</w:t>
      </w:r>
    </w:p>
    <w:p w14:paraId="79C66A5B" w14:textId="77777777" w:rsidR="00AE7830" w:rsidRDefault="00BA00E8" w:rsidP="00BA00E8">
      <w:pPr>
        <w:rPr>
          <w:noProof/>
        </w:rPr>
      </w:pPr>
      <w:bookmarkStart w:id="50" w:name="_In-sequence_SDU_delivery"/>
      <w:bookmarkStart w:id="51" w:name="_Toc485398802"/>
      <w:bookmarkStart w:id="52" w:name="_Toc485417365"/>
      <w:bookmarkStart w:id="53" w:name="_Toc502931808"/>
      <w:bookmarkStart w:id="54" w:name="_Toc502953351"/>
      <w:bookmarkStart w:id="55" w:name="_Toc502953537"/>
      <w:bookmarkStart w:id="56" w:name="_Toc502953581"/>
      <w:bookmarkEnd w:id="50"/>
      <w:r w:rsidRPr="00D80827">
        <w:rPr>
          <w:lang w:val="en-US"/>
        </w:rPr>
        <w:t>In this contribution, the following observations were captured:</w:t>
      </w:r>
      <w:bookmarkStart w:id="57" w:name="_Toc502931810"/>
      <w:bookmarkStart w:id="58" w:name="_Hlk508794470"/>
      <w:bookmarkEnd w:id="51"/>
      <w:bookmarkEnd w:id="52"/>
      <w:bookmarkEnd w:id="53"/>
      <w:bookmarkEnd w:id="54"/>
      <w:bookmarkEnd w:id="55"/>
      <w:bookmarkEnd w:id="56"/>
      <w:r>
        <w:rPr>
          <w:b/>
          <w:szCs w:val="20"/>
        </w:rPr>
        <w:fldChar w:fldCharType="begin"/>
      </w:r>
      <w:r w:rsidRPr="00D80827">
        <w:rPr>
          <w:b/>
          <w:lang w:val="en-US"/>
        </w:rPr>
        <w:instrText xml:space="preserve"> TOC \f \n \t "Observation;1" </w:instrText>
      </w:r>
      <w:r>
        <w:rPr>
          <w:b/>
          <w:szCs w:val="20"/>
        </w:rPr>
        <w:fldChar w:fldCharType="separate"/>
      </w:r>
    </w:p>
    <w:p w14:paraId="4BEB2EA0" w14:textId="77777777" w:rsidR="00AE7830" w:rsidRDefault="00AE7830">
      <w:pPr>
        <w:pStyle w:val="TOC1"/>
        <w:rPr>
          <w:rFonts w:asciiTheme="minorHAnsi" w:eastAsiaTheme="minorEastAsia" w:hAnsiTheme="minorHAnsi" w:cstheme="minorBidi"/>
          <w:b w:val="0"/>
          <w:sz w:val="22"/>
          <w:lang w:val="en-GB" w:eastAsia="en-GB"/>
        </w:rPr>
      </w:pPr>
      <w:r w:rsidRPr="008573E9">
        <w:t>Observation 1</w:t>
      </w:r>
      <w:r>
        <w:rPr>
          <w:rFonts w:asciiTheme="minorHAnsi" w:eastAsiaTheme="minorEastAsia" w:hAnsiTheme="minorHAnsi" w:cstheme="minorBidi"/>
          <w:b w:val="0"/>
          <w:sz w:val="22"/>
          <w:lang w:val="en-GB" w:eastAsia="en-GB"/>
        </w:rPr>
        <w:tab/>
      </w:r>
      <w:r w:rsidRPr="008573E9">
        <w:t>The measurement reporting overhead which includes the cell and beam level measurements for the cells that triggered the measurement report, the serving cells and the best neighbor cells in the serving frequencies could be large and hence could be challenging to transmit in poor radio conditions.</w:t>
      </w:r>
    </w:p>
    <w:p w14:paraId="18689CD9" w14:textId="77777777" w:rsidR="00AE7830" w:rsidRDefault="00AE7830">
      <w:pPr>
        <w:pStyle w:val="TOC1"/>
        <w:rPr>
          <w:rFonts w:asciiTheme="minorHAnsi" w:eastAsiaTheme="minorEastAsia" w:hAnsiTheme="minorHAnsi" w:cstheme="minorBidi"/>
          <w:b w:val="0"/>
          <w:sz w:val="22"/>
          <w:lang w:val="en-GB" w:eastAsia="en-GB"/>
        </w:rPr>
      </w:pPr>
      <w:r w:rsidRPr="008573E9">
        <w:t>Observation 2</w:t>
      </w:r>
      <w:r>
        <w:rPr>
          <w:rFonts w:asciiTheme="minorHAnsi" w:eastAsiaTheme="minorEastAsia" w:hAnsiTheme="minorHAnsi" w:cstheme="minorBidi"/>
          <w:b w:val="0"/>
          <w:sz w:val="22"/>
          <w:lang w:val="en-GB" w:eastAsia="en-GB"/>
        </w:rPr>
        <w:tab/>
      </w:r>
      <w:r w:rsidRPr="008573E9">
        <w:t xml:space="preserve">It is difficult to configure </w:t>
      </w:r>
      <w:r w:rsidRPr="008573E9">
        <w:rPr>
          <w:i/>
        </w:rPr>
        <w:t>reportConfig</w:t>
      </w:r>
      <w:r w:rsidRPr="008573E9">
        <w:t xml:space="preserve"> in scenarios where the handover borders of a cell include both UL coverage limited and good UL coverage scenarios.</w:t>
      </w:r>
    </w:p>
    <w:p w14:paraId="35317DBD" w14:textId="77777777" w:rsidR="00BA00E8" w:rsidRPr="000F7C91" w:rsidRDefault="00BA00E8" w:rsidP="00BA00E8">
      <w:pPr>
        <w:pStyle w:val="TOC1"/>
        <w:rPr>
          <w:rFonts w:asciiTheme="minorHAnsi" w:eastAsiaTheme="minorEastAsia" w:hAnsiTheme="minorHAnsi" w:cstheme="minorBidi"/>
          <w:b w:val="0"/>
          <w:sz w:val="22"/>
          <w:lang w:eastAsia="sv-SE"/>
        </w:rPr>
      </w:pPr>
      <w:r>
        <w:rPr>
          <w:rFonts w:cs="Arial"/>
          <w:b w:val="0"/>
        </w:rPr>
        <w:fldChar w:fldCharType="end"/>
      </w:r>
    </w:p>
    <w:p w14:paraId="3C8F0484" w14:textId="77777777" w:rsidR="00921CBD" w:rsidRDefault="00BA00E8" w:rsidP="00BA00E8">
      <w:pPr>
        <w:rPr>
          <w:noProof/>
        </w:rPr>
      </w:pPr>
      <w:bookmarkStart w:id="59" w:name="_Toc502953352"/>
      <w:bookmarkStart w:id="60" w:name="_Toc502953538"/>
      <w:bookmarkStart w:id="61" w:name="_Toc502953582"/>
      <w:r w:rsidRPr="00D80827">
        <w:rPr>
          <w:lang w:val="en-US"/>
        </w:rPr>
        <w:t>In this contribution, the following proposals were captured:</w:t>
      </w:r>
      <w:bookmarkEnd w:id="57"/>
      <w:bookmarkEnd w:id="59"/>
      <w:bookmarkEnd w:id="60"/>
      <w:bookmarkEnd w:id="61"/>
      <w:r>
        <w:rPr>
          <w:b/>
          <w:sz w:val="20"/>
          <w:szCs w:val="20"/>
        </w:rPr>
        <w:fldChar w:fldCharType="begin"/>
      </w:r>
      <w:r w:rsidRPr="00D80827">
        <w:rPr>
          <w:b/>
          <w:lang w:val="en-US"/>
        </w:rPr>
        <w:instrText xml:space="preserve"> TOC \f \n \t "Proposal;1" </w:instrText>
      </w:r>
      <w:r>
        <w:rPr>
          <w:b/>
          <w:sz w:val="20"/>
          <w:szCs w:val="20"/>
        </w:rPr>
        <w:fldChar w:fldCharType="separate"/>
      </w:r>
    </w:p>
    <w:p w14:paraId="55AD04B5" w14:textId="77777777" w:rsidR="00921CBD" w:rsidRDefault="00921CBD">
      <w:pPr>
        <w:pStyle w:val="TOC1"/>
        <w:rPr>
          <w:rFonts w:asciiTheme="minorHAnsi" w:eastAsiaTheme="minorEastAsia" w:hAnsiTheme="minorHAnsi" w:cstheme="minorBidi"/>
          <w:b w:val="0"/>
          <w:sz w:val="22"/>
          <w:lang w:val="en-GB" w:eastAsia="en-GB"/>
        </w:rPr>
      </w:pPr>
      <w:r w:rsidRPr="000520FB">
        <w:rPr>
          <w:rFonts w:cs="Arial"/>
        </w:rPr>
        <w:t>Proposal 1</w:t>
      </w:r>
      <w:r>
        <w:rPr>
          <w:rFonts w:asciiTheme="minorHAnsi" w:eastAsiaTheme="minorEastAsia" w:hAnsiTheme="minorHAnsi" w:cstheme="minorBidi"/>
          <w:b w:val="0"/>
          <w:sz w:val="22"/>
          <w:lang w:val="en-GB" w:eastAsia="en-GB"/>
        </w:rPr>
        <w:tab/>
      </w:r>
      <w:r w:rsidRPr="000520FB">
        <w:rPr>
          <w:rFonts w:cs="Arial"/>
        </w:rPr>
        <w:t>Measurement report size reduction based on network configured conditions being fulfilled is supported.</w:t>
      </w:r>
    </w:p>
    <w:p w14:paraId="699A7BE7" w14:textId="77777777" w:rsidR="00921CBD" w:rsidRDefault="00921CBD">
      <w:pPr>
        <w:pStyle w:val="TOC1"/>
        <w:rPr>
          <w:rFonts w:asciiTheme="minorHAnsi" w:eastAsiaTheme="minorEastAsia" w:hAnsiTheme="minorHAnsi" w:cstheme="minorBidi"/>
          <w:b w:val="0"/>
          <w:sz w:val="22"/>
          <w:lang w:val="en-GB" w:eastAsia="en-GB"/>
        </w:rPr>
      </w:pPr>
      <w:r w:rsidRPr="000520FB">
        <w:rPr>
          <w:rFonts w:cs="Arial"/>
        </w:rPr>
        <w:t>Proposal 2</w:t>
      </w:r>
      <w:r>
        <w:rPr>
          <w:rFonts w:asciiTheme="minorHAnsi" w:eastAsiaTheme="minorEastAsia" w:hAnsiTheme="minorHAnsi" w:cstheme="minorBidi"/>
          <w:b w:val="0"/>
          <w:sz w:val="22"/>
          <w:lang w:val="en-GB" w:eastAsia="en-GB"/>
        </w:rPr>
        <w:tab/>
      </w:r>
      <w:r w:rsidRPr="000520FB">
        <w:rPr>
          <w:rFonts w:cs="Arial"/>
        </w:rPr>
        <w:t>At least one of the following network configured condition upon which the UE can reduce the measurement report size is supported;</w:t>
      </w:r>
    </w:p>
    <w:p w14:paraId="66903930" w14:textId="77777777" w:rsidR="00921CBD" w:rsidRDefault="00921CBD">
      <w:pPr>
        <w:pStyle w:val="TOC1"/>
        <w:rPr>
          <w:rFonts w:asciiTheme="minorHAnsi" w:eastAsiaTheme="minorEastAsia" w:hAnsiTheme="minorHAnsi" w:cstheme="minorBidi"/>
          <w:b w:val="0"/>
          <w:sz w:val="22"/>
          <w:lang w:val="en-GB" w:eastAsia="en-GB"/>
        </w:rPr>
      </w:pPr>
      <w:r w:rsidRPr="000520FB">
        <w:rPr>
          <w:rFonts w:cs="Arial"/>
        </w:rPr>
        <w:t>a.</w:t>
      </w:r>
      <w:r>
        <w:rPr>
          <w:rFonts w:asciiTheme="minorHAnsi" w:eastAsiaTheme="minorEastAsia" w:hAnsiTheme="minorHAnsi" w:cstheme="minorBidi"/>
          <w:b w:val="0"/>
          <w:sz w:val="22"/>
          <w:lang w:val="en-GB" w:eastAsia="en-GB"/>
        </w:rPr>
        <w:tab/>
      </w:r>
      <w:r w:rsidRPr="000520FB">
        <w:rPr>
          <w:rFonts w:cs="Arial"/>
        </w:rPr>
        <w:t>Measurement quantity meeting network configured threshold</w:t>
      </w:r>
    </w:p>
    <w:p w14:paraId="45EED256" w14:textId="77777777" w:rsidR="00921CBD" w:rsidRDefault="00921CBD">
      <w:pPr>
        <w:pStyle w:val="TOC1"/>
        <w:rPr>
          <w:rFonts w:asciiTheme="minorHAnsi" w:eastAsiaTheme="minorEastAsia" w:hAnsiTheme="minorHAnsi" w:cstheme="minorBidi"/>
          <w:b w:val="0"/>
          <w:sz w:val="22"/>
          <w:lang w:val="en-GB" w:eastAsia="en-GB"/>
        </w:rPr>
      </w:pPr>
      <w:r w:rsidRPr="000520FB">
        <w:rPr>
          <w:rFonts w:cs="Arial"/>
        </w:rPr>
        <w:t>b.</w:t>
      </w:r>
      <w:r>
        <w:rPr>
          <w:rFonts w:asciiTheme="minorHAnsi" w:eastAsiaTheme="minorEastAsia" w:hAnsiTheme="minorHAnsi" w:cstheme="minorBidi"/>
          <w:b w:val="0"/>
          <w:sz w:val="22"/>
          <w:lang w:val="en-GB" w:eastAsia="en-GB"/>
        </w:rPr>
        <w:tab/>
      </w:r>
      <w:r w:rsidRPr="000520FB">
        <w:rPr>
          <w:rFonts w:cs="Arial"/>
        </w:rPr>
        <w:t>Failed transmission of the measurement report</w:t>
      </w:r>
    </w:p>
    <w:p w14:paraId="7607F64B" w14:textId="77777777" w:rsidR="00921CBD" w:rsidRDefault="00921CBD">
      <w:pPr>
        <w:pStyle w:val="TOC1"/>
        <w:rPr>
          <w:rFonts w:asciiTheme="minorHAnsi" w:eastAsiaTheme="minorEastAsia" w:hAnsiTheme="minorHAnsi" w:cstheme="minorBidi"/>
          <w:b w:val="0"/>
          <w:sz w:val="22"/>
          <w:lang w:val="en-GB" w:eastAsia="en-GB"/>
        </w:rPr>
      </w:pPr>
      <w:r w:rsidRPr="000520FB">
        <w:rPr>
          <w:rFonts w:cs="Arial"/>
        </w:rPr>
        <w:t>c.</w:t>
      </w:r>
      <w:r>
        <w:rPr>
          <w:rFonts w:asciiTheme="minorHAnsi" w:eastAsiaTheme="minorEastAsia" w:hAnsiTheme="minorHAnsi" w:cstheme="minorBidi"/>
          <w:b w:val="0"/>
          <w:sz w:val="22"/>
          <w:lang w:val="en-GB" w:eastAsia="en-GB"/>
        </w:rPr>
        <w:tab/>
      </w:r>
      <w:r w:rsidRPr="000520FB">
        <w:rPr>
          <w:rFonts w:cs="Arial"/>
        </w:rPr>
        <w:t>Status of T310</w:t>
      </w:r>
    </w:p>
    <w:p w14:paraId="2A809F45" w14:textId="77777777" w:rsidR="00921CBD" w:rsidRDefault="00921CBD">
      <w:pPr>
        <w:pStyle w:val="TOC1"/>
        <w:rPr>
          <w:rFonts w:asciiTheme="minorHAnsi" w:eastAsiaTheme="minorEastAsia" w:hAnsiTheme="minorHAnsi" w:cstheme="minorBidi"/>
          <w:b w:val="0"/>
          <w:sz w:val="22"/>
          <w:lang w:val="en-GB" w:eastAsia="en-GB"/>
        </w:rPr>
      </w:pPr>
      <w:r w:rsidRPr="000520FB">
        <w:rPr>
          <w:rFonts w:cs="Arial"/>
        </w:rPr>
        <w:t>Proposal 3</w:t>
      </w:r>
      <w:r>
        <w:rPr>
          <w:rFonts w:asciiTheme="minorHAnsi" w:eastAsiaTheme="minorEastAsia" w:hAnsiTheme="minorHAnsi" w:cstheme="minorBidi"/>
          <w:b w:val="0"/>
          <w:sz w:val="22"/>
          <w:lang w:val="en-GB" w:eastAsia="en-GB"/>
        </w:rPr>
        <w:tab/>
      </w:r>
      <w:r w:rsidRPr="000520FB">
        <w:rPr>
          <w:rFonts w:cs="Arial"/>
        </w:rPr>
        <w:t>Network can configure as to which part of the measurement report the UE shall exclude when the configured conditions are met. At least one or more of the following possibilities are included;</w:t>
      </w:r>
    </w:p>
    <w:p w14:paraId="236AF601" w14:textId="77777777" w:rsidR="00921CBD" w:rsidRDefault="00921CBD">
      <w:pPr>
        <w:pStyle w:val="TOC1"/>
        <w:rPr>
          <w:rFonts w:asciiTheme="minorHAnsi" w:eastAsiaTheme="minorEastAsia" w:hAnsiTheme="minorHAnsi" w:cstheme="minorBidi"/>
          <w:b w:val="0"/>
          <w:sz w:val="22"/>
          <w:lang w:val="en-GB" w:eastAsia="en-GB"/>
        </w:rPr>
      </w:pPr>
      <w:r w:rsidRPr="000520FB">
        <w:rPr>
          <w:rFonts w:cs="Arial"/>
        </w:rPr>
        <w:t>a.</w:t>
      </w:r>
      <w:r>
        <w:rPr>
          <w:rFonts w:asciiTheme="minorHAnsi" w:eastAsiaTheme="minorEastAsia" w:hAnsiTheme="minorHAnsi" w:cstheme="minorBidi"/>
          <w:b w:val="0"/>
          <w:sz w:val="22"/>
          <w:lang w:val="en-GB" w:eastAsia="en-GB"/>
        </w:rPr>
        <w:tab/>
      </w:r>
      <w:r w:rsidRPr="000520FB">
        <w:rPr>
          <w:rFonts w:cs="Arial"/>
        </w:rPr>
        <w:t>Beam measurements are excluded</w:t>
      </w:r>
    </w:p>
    <w:p w14:paraId="596C5955" w14:textId="77777777" w:rsidR="00921CBD" w:rsidRDefault="00921CBD">
      <w:pPr>
        <w:pStyle w:val="TOC1"/>
        <w:rPr>
          <w:rFonts w:asciiTheme="minorHAnsi" w:eastAsiaTheme="minorEastAsia" w:hAnsiTheme="minorHAnsi" w:cstheme="minorBidi"/>
          <w:b w:val="0"/>
          <w:sz w:val="22"/>
          <w:lang w:val="en-GB" w:eastAsia="en-GB"/>
        </w:rPr>
      </w:pPr>
      <w:r w:rsidRPr="000520FB">
        <w:rPr>
          <w:rFonts w:cs="Arial"/>
        </w:rPr>
        <w:t>b.</w:t>
      </w:r>
      <w:r>
        <w:rPr>
          <w:rFonts w:asciiTheme="minorHAnsi" w:eastAsiaTheme="minorEastAsia" w:hAnsiTheme="minorHAnsi" w:cstheme="minorBidi"/>
          <w:b w:val="0"/>
          <w:sz w:val="22"/>
          <w:lang w:val="en-GB" w:eastAsia="en-GB"/>
        </w:rPr>
        <w:tab/>
      </w:r>
      <w:r w:rsidRPr="000520FB">
        <w:rPr>
          <w:rFonts w:cs="Arial"/>
        </w:rPr>
        <w:t>Serving cell measurements are excluded</w:t>
      </w:r>
    </w:p>
    <w:p w14:paraId="2CABEAF8" w14:textId="77777777" w:rsidR="00921CBD" w:rsidRDefault="00921CBD">
      <w:pPr>
        <w:pStyle w:val="TOC1"/>
        <w:rPr>
          <w:rFonts w:asciiTheme="minorHAnsi" w:eastAsiaTheme="minorEastAsia" w:hAnsiTheme="minorHAnsi" w:cstheme="minorBidi"/>
          <w:b w:val="0"/>
          <w:sz w:val="22"/>
          <w:lang w:val="en-GB" w:eastAsia="en-GB"/>
        </w:rPr>
      </w:pPr>
      <w:r w:rsidRPr="000520FB">
        <w:rPr>
          <w:rFonts w:cs="Arial"/>
        </w:rPr>
        <w:t>c.</w:t>
      </w:r>
      <w:r>
        <w:rPr>
          <w:rFonts w:asciiTheme="minorHAnsi" w:eastAsiaTheme="minorEastAsia" w:hAnsiTheme="minorHAnsi" w:cstheme="minorBidi"/>
          <w:b w:val="0"/>
          <w:sz w:val="22"/>
          <w:lang w:val="en-GB" w:eastAsia="en-GB"/>
        </w:rPr>
        <w:tab/>
      </w:r>
      <w:r w:rsidRPr="000520FB">
        <w:rPr>
          <w:rFonts w:cs="Arial"/>
        </w:rPr>
        <w:t>Best neighbor cell measurements in serving frequencies are excluded</w:t>
      </w:r>
    </w:p>
    <w:p w14:paraId="7A37638C" w14:textId="2FE250C0" w:rsidR="00163D57" w:rsidRDefault="00BA00E8" w:rsidP="00163D57">
      <w:pPr>
        <w:pStyle w:val="Heading1"/>
      </w:pPr>
      <w:r>
        <w:rPr>
          <w:b/>
          <w:lang w:val="en-US"/>
        </w:rPr>
        <w:fldChar w:fldCharType="end"/>
      </w:r>
      <w:bookmarkEnd w:id="58"/>
      <w:r w:rsidR="00163D57" w:rsidRPr="00163D57">
        <w:t xml:space="preserve"> </w:t>
      </w:r>
      <w:r w:rsidR="00163D57">
        <w:t>References</w:t>
      </w:r>
    </w:p>
    <w:sectPr w:rsidR="00163D5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9DAD65" w14:textId="77777777" w:rsidR="00B124D0" w:rsidRDefault="00B124D0">
      <w:r>
        <w:separator/>
      </w:r>
    </w:p>
  </w:endnote>
  <w:endnote w:type="continuationSeparator" w:id="0">
    <w:p w14:paraId="09F519B7" w14:textId="77777777" w:rsidR="00B124D0" w:rsidRDefault="00B12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B7D153" w14:textId="77777777" w:rsidR="00B124D0" w:rsidRDefault="00B124D0">
      <w:r>
        <w:separator/>
      </w:r>
    </w:p>
  </w:footnote>
  <w:footnote w:type="continuationSeparator" w:id="0">
    <w:p w14:paraId="38A9D40D" w14:textId="77777777" w:rsidR="00B124D0" w:rsidRDefault="00B124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4DC67C8"/>
    <w:multiLevelType w:val="hybridMultilevel"/>
    <w:tmpl w:val="778E24A6"/>
    <w:lvl w:ilvl="0" w:tplc="C0B0A00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7007664"/>
    <w:multiLevelType w:val="hybridMultilevel"/>
    <w:tmpl w:val="52B8D0A0"/>
    <w:lvl w:ilvl="0" w:tplc="EF5AF1A8">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2A37"/>
    <w:rsid w:val="000039F4"/>
    <w:rsid w:val="00006446"/>
    <w:rsid w:val="00006896"/>
    <w:rsid w:val="00007CDC"/>
    <w:rsid w:val="00011B28"/>
    <w:rsid w:val="00015D15"/>
    <w:rsid w:val="000245B9"/>
    <w:rsid w:val="0002499C"/>
    <w:rsid w:val="0002564D"/>
    <w:rsid w:val="00025ECA"/>
    <w:rsid w:val="000325B8"/>
    <w:rsid w:val="00034C15"/>
    <w:rsid w:val="00036BA1"/>
    <w:rsid w:val="000422E2"/>
    <w:rsid w:val="00042F22"/>
    <w:rsid w:val="000441A0"/>
    <w:rsid w:val="000444EF"/>
    <w:rsid w:val="0005095F"/>
    <w:rsid w:val="00052A07"/>
    <w:rsid w:val="000534E3"/>
    <w:rsid w:val="0005606A"/>
    <w:rsid w:val="00057117"/>
    <w:rsid w:val="000616E7"/>
    <w:rsid w:val="0006487E"/>
    <w:rsid w:val="00065E1A"/>
    <w:rsid w:val="00076FC5"/>
    <w:rsid w:val="00077E5F"/>
    <w:rsid w:val="0008036A"/>
    <w:rsid w:val="0008070F"/>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796E"/>
    <w:rsid w:val="000E0527"/>
    <w:rsid w:val="000E1E92"/>
    <w:rsid w:val="000F06D6"/>
    <w:rsid w:val="000F0EB1"/>
    <w:rsid w:val="000F1106"/>
    <w:rsid w:val="000F3BE9"/>
    <w:rsid w:val="000F3F6C"/>
    <w:rsid w:val="000F6848"/>
    <w:rsid w:val="000F6DF3"/>
    <w:rsid w:val="000F7E6F"/>
    <w:rsid w:val="001005FF"/>
    <w:rsid w:val="0010234E"/>
    <w:rsid w:val="001062FB"/>
    <w:rsid w:val="001063E6"/>
    <w:rsid w:val="00113CF4"/>
    <w:rsid w:val="001153EA"/>
    <w:rsid w:val="00115643"/>
    <w:rsid w:val="00116765"/>
    <w:rsid w:val="00120316"/>
    <w:rsid w:val="001219F5"/>
    <w:rsid w:val="00121A20"/>
    <w:rsid w:val="0012377F"/>
    <w:rsid w:val="00124314"/>
    <w:rsid w:val="00126B4A"/>
    <w:rsid w:val="00132FD0"/>
    <w:rsid w:val="001344C0"/>
    <w:rsid w:val="001346FA"/>
    <w:rsid w:val="00135252"/>
    <w:rsid w:val="001373C0"/>
    <w:rsid w:val="00137AB5"/>
    <w:rsid w:val="00137F0B"/>
    <w:rsid w:val="00145173"/>
    <w:rsid w:val="00151E23"/>
    <w:rsid w:val="001526E0"/>
    <w:rsid w:val="001551B5"/>
    <w:rsid w:val="001556CB"/>
    <w:rsid w:val="001632F7"/>
    <w:rsid w:val="00163D57"/>
    <w:rsid w:val="001659C1"/>
    <w:rsid w:val="00173A8E"/>
    <w:rsid w:val="00175948"/>
    <w:rsid w:val="00177470"/>
    <w:rsid w:val="00177795"/>
    <w:rsid w:val="00180098"/>
    <w:rsid w:val="0018143F"/>
    <w:rsid w:val="00190AC1"/>
    <w:rsid w:val="0019341A"/>
    <w:rsid w:val="00197DF9"/>
    <w:rsid w:val="001A1987"/>
    <w:rsid w:val="001A2564"/>
    <w:rsid w:val="001A6173"/>
    <w:rsid w:val="001A6CBA"/>
    <w:rsid w:val="001B0D97"/>
    <w:rsid w:val="001B1436"/>
    <w:rsid w:val="001B5A5D"/>
    <w:rsid w:val="001C1CE5"/>
    <w:rsid w:val="001C3D2A"/>
    <w:rsid w:val="001C7608"/>
    <w:rsid w:val="001D51BA"/>
    <w:rsid w:val="001D6342"/>
    <w:rsid w:val="001D6D53"/>
    <w:rsid w:val="001E58E2"/>
    <w:rsid w:val="001E6613"/>
    <w:rsid w:val="001E7AED"/>
    <w:rsid w:val="001F3916"/>
    <w:rsid w:val="001F54C5"/>
    <w:rsid w:val="001F662C"/>
    <w:rsid w:val="001F7074"/>
    <w:rsid w:val="00200490"/>
    <w:rsid w:val="002005F0"/>
    <w:rsid w:val="00201F3A"/>
    <w:rsid w:val="00203F96"/>
    <w:rsid w:val="002069B2"/>
    <w:rsid w:val="00207FA3"/>
    <w:rsid w:val="00214DA8"/>
    <w:rsid w:val="00215423"/>
    <w:rsid w:val="002158FA"/>
    <w:rsid w:val="0021716C"/>
    <w:rsid w:val="00220600"/>
    <w:rsid w:val="002224DB"/>
    <w:rsid w:val="00223FCB"/>
    <w:rsid w:val="002252C3"/>
    <w:rsid w:val="00225C54"/>
    <w:rsid w:val="00230765"/>
    <w:rsid w:val="002319E4"/>
    <w:rsid w:val="00235632"/>
    <w:rsid w:val="00235872"/>
    <w:rsid w:val="0023691A"/>
    <w:rsid w:val="00241559"/>
    <w:rsid w:val="002435B3"/>
    <w:rsid w:val="002458EB"/>
    <w:rsid w:val="002500C8"/>
    <w:rsid w:val="00251557"/>
    <w:rsid w:val="00254D61"/>
    <w:rsid w:val="00256492"/>
    <w:rsid w:val="00257543"/>
    <w:rsid w:val="002617E7"/>
    <w:rsid w:val="00264228"/>
    <w:rsid w:val="00264334"/>
    <w:rsid w:val="0026473E"/>
    <w:rsid w:val="00266214"/>
    <w:rsid w:val="00267C83"/>
    <w:rsid w:val="00270F6E"/>
    <w:rsid w:val="0027144F"/>
    <w:rsid w:val="00271F3A"/>
    <w:rsid w:val="00273278"/>
    <w:rsid w:val="002737F4"/>
    <w:rsid w:val="002805F5"/>
    <w:rsid w:val="00280751"/>
    <w:rsid w:val="00280DD1"/>
    <w:rsid w:val="0028280A"/>
    <w:rsid w:val="002856A6"/>
    <w:rsid w:val="00286ACD"/>
    <w:rsid w:val="00287838"/>
    <w:rsid w:val="002907B5"/>
    <w:rsid w:val="00292EB7"/>
    <w:rsid w:val="00296227"/>
    <w:rsid w:val="00296486"/>
    <w:rsid w:val="00296F44"/>
    <w:rsid w:val="0029777D"/>
    <w:rsid w:val="002A055E"/>
    <w:rsid w:val="002A1D4E"/>
    <w:rsid w:val="002A2869"/>
    <w:rsid w:val="002B24D6"/>
    <w:rsid w:val="002B283D"/>
    <w:rsid w:val="002B64CF"/>
    <w:rsid w:val="002C41E6"/>
    <w:rsid w:val="002D071A"/>
    <w:rsid w:val="002D34B2"/>
    <w:rsid w:val="002D7637"/>
    <w:rsid w:val="002D7E90"/>
    <w:rsid w:val="002E17F2"/>
    <w:rsid w:val="002E7CAE"/>
    <w:rsid w:val="002F2771"/>
    <w:rsid w:val="002F37A9"/>
    <w:rsid w:val="00300157"/>
    <w:rsid w:val="00301623"/>
    <w:rsid w:val="00301CE6"/>
    <w:rsid w:val="0030256B"/>
    <w:rsid w:val="00304E7A"/>
    <w:rsid w:val="0030501F"/>
    <w:rsid w:val="00307220"/>
    <w:rsid w:val="00307BA1"/>
    <w:rsid w:val="00311702"/>
    <w:rsid w:val="00311E82"/>
    <w:rsid w:val="00313FD6"/>
    <w:rsid w:val="003143BD"/>
    <w:rsid w:val="003203ED"/>
    <w:rsid w:val="00322C9F"/>
    <w:rsid w:val="00324D23"/>
    <w:rsid w:val="00331751"/>
    <w:rsid w:val="0033441F"/>
    <w:rsid w:val="00334579"/>
    <w:rsid w:val="00335858"/>
    <w:rsid w:val="00336BDA"/>
    <w:rsid w:val="00342BD7"/>
    <w:rsid w:val="00343A07"/>
    <w:rsid w:val="00346DB5"/>
    <w:rsid w:val="003477B1"/>
    <w:rsid w:val="0035491B"/>
    <w:rsid w:val="00357380"/>
    <w:rsid w:val="003602D9"/>
    <w:rsid w:val="003604CE"/>
    <w:rsid w:val="00365943"/>
    <w:rsid w:val="00370E47"/>
    <w:rsid w:val="003742AC"/>
    <w:rsid w:val="00377CE1"/>
    <w:rsid w:val="00385BF0"/>
    <w:rsid w:val="003939FF"/>
    <w:rsid w:val="00397F5B"/>
    <w:rsid w:val="003A2223"/>
    <w:rsid w:val="003A2A0F"/>
    <w:rsid w:val="003A45A1"/>
    <w:rsid w:val="003A5B0A"/>
    <w:rsid w:val="003A6BAC"/>
    <w:rsid w:val="003A7EF3"/>
    <w:rsid w:val="003B0731"/>
    <w:rsid w:val="003B159C"/>
    <w:rsid w:val="003B369F"/>
    <w:rsid w:val="003B36A3"/>
    <w:rsid w:val="003B460B"/>
    <w:rsid w:val="003B495B"/>
    <w:rsid w:val="003B7FE5"/>
    <w:rsid w:val="003C11C8"/>
    <w:rsid w:val="003C2702"/>
    <w:rsid w:val="003C6DA5"/>
    <w:rsid w:val="003C7806"/>
    <w:rsid w:val="003D109F"/>
    <w:rsid w:val="003D2478"/>
    <w:rsid w:val="003D3C45"/>
    <w:rsid w:val="003D5B1F"/>
    <w:rsid w:val="003E15FA"/>
    <w:rsid w:val="003E19D7"/>
    <w:rsid w:val="003E2D50"/>
    <w:rsid w:val="003E55E4"/>
    <w:rsid w:val="003E74E3"/>
    <w:rsid w:val="003F05C7"/>
    <w:rsid w:val="003F2CD4"/>
    <w:rsid w:val="003F550E"/>
    <w:rsid w:val="003F6BBE"/>
    <w:rsid w:val="004000E8"/>
    <w:rsid w:val="00402E2B"/>
    <w:rsid w:val="0040512B"/>
    <w:rsid w:val="00405CA5"/>
    <w:rsid w:val="00407CD3"/>
    <w:rsid w:val="00410134"/>
    <w:rsid w:val="00410B72"/>
    <w:rsid w:val="00410F18"/>
    <w:rsid w:val="0041263E"/>
    <w:rsid w:val="00413AAC"/>
    <w:rsid w:val="00421105"/>
    <w:rsid w:val="004242F4"/>
    <w:rsid w:val="004268ED"/>
    <w:rsid w:val="00427248"/>
    <w:rsid w:val="0043641E"/>
    <w:rsid w:val="00436AE5"/>
    <w:rsid w:val="00437447"/>
    <w:rsid w:val="00441A92"/>
    <w:rsid w:val="00442F04"/>
    <w:rsid w:val="00444F56"/>
    <w:rsid w:val="00446488"/>
    <w:rsid w:val="004517AA"/>
    <w:rsid w:val="00452CAC"/>
    <w:rsid w:val="00457565"/>
    <w:rsid w:val="00457B71"/>
    <w:rsid w:val="004669E2"/>
    <w:rsid w:val="00470C31"/>
    <w:rsid w:val="004734D0"/>
    <w:rsid w:val="0047556B"/>
    <w:rsid w:val="004774E7"/>
    <w:rsid w:val="00477768"/>
    <w:rsid w:val="00492BC5"/>
    <w:rsid w:val="004964F1"/>
    <w:rsid w:val="004A16BC"/>
    <w:rsid w:val="004A2B94"/>
    <w:rsid w:val="004B7A62"/>
    <w:rsid w:val="004B7C0C"/>
    <w:rsid w:val="004C2DB9"/>
    <w:rsid w:val="004C3898"/>
    <w:rsid w:val="004D10C0"/>
    <w:rsid w:val="004D36B1"/>
    <w:rsid w:val="004D73EE"/>
    <w:rsid w:val="004D7EBD"/>
    <w:rsid w:val="004E2680"/>
    <w:rsid w:val="004E28F9"/>
    <w:rsid w:val="004E462E"/>
    <w:rsid w:val="004E56DC"/>
    <w:rsid w:val="004E76F4"/>
    <w:rsid w:val="004F0B4E"/>
    <w:rsid w:val="004F0B6C"/>
    <w:rsid w:val="004F2078"/>
    <w:rsid w:val="004F2C41"/>
    <w:rsid w:val="004F4DA3"/>
    <w:rsid w:val="00500435"/>
    <w:rsid w:val="005022A7"/>
    <w:rsid w:val="0050494F"/>
    <w:rsid w:val="00506557"/>
    <w:rsid w:val="0050677A"/>
    <w:rsid w:val="005108D8"/>
    <w:rsid w:val="005116F9"/>
    <w:rsid w:val="005141A8"/>
    <w:rsid w:val="005153A7"/>
    <w:rsid w:val="0051743E"/>
    <w:rsid w:val="005219CF"/>
    <w:rsid w:val="00534B59"/>
    <w:rsid w:val="00536759"/>
    <w:rsid w:val="00537C62"/>
    <w:rsid w:val="005450C2"/>
    <w:rsid w:val="00546970"/>
    <w:rsid w:val="00554E19"/>
    <w:rsid w:val="0056121F"/>
    <w:rsid w:val="005638A3"/>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D4CDB"/>
    <w:rsid w:val="005E385F"/>
    <w:rsid w:val="005E5B81"/>
    <w:rsid w:val="005F05EC"/>
    <w:rsid w:val="005F0B7A"/>
    <w:rsid w:val="005F2CB1"/>
    <w:rsid w:val="005F3025"/>
    <w:rsid w:val="005F618C"/>
    <w:rsid w:val="005F70BD"/>
    <w:rsid w:val="0060283C"/>
    <w:rsid w:val="00604F14"/>
    <w:rsid w:val="00611B83"/>
    <w:rsid w:val="006127FE"/>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2D5F"/>
    <w:rsid w:val="00643475"/>
    <w:rsid w:val="0064396A"/>
    <w:rsid w:val="0064624E"/>
    <w:rsid w:val="00650AB9"/>
    <w:rsid w:val="00655733"/>
    <w:rsid w:val="00655ACD"/>
    <w:rsid w:val="0065612E"/>
    <w:rsid w:val="00656A92"/>
    <w:rsid w:val="00656DDE"/>
    <w:rsid w:val="0066011D"/>
    <w:rsid w:val="006607C0"/>
    <w:rsid w:val="006613A6"/>
    <w:rsid w:val="006627A2"/>
    <w:rsid w:val="006634E6"/>
    <w:rsid w:val="006655EE"/>
    <w:rsid w:val="00665EE9"/>
    <w:rsid w:val="00667EE7"/>
    <w:rsid w:val="00670922"/>
    <w:rsid w:val="00670BE1"/>
    <w:rsid w:val="0067218F"/>
    <w:rsid w:val="00673108"/>
    <w:rsid w:val="006741F2"/>
    <w:rsid w:val="00674CC3"/>
    <w:rsid w:val="00675C72"/>
    <w:rsid w:val="006771F9"/>
    <w:rsid w:val="006776D7"/>
    <w:rsid w:val="00681003"/>
    <w:rsid w:val="006817C9"/>
    <w:rsid w:val="00683ECE"/>
    <w:rsid w:val="006903E0"/>
    <w:rsid w:val="00692484"/>
    <w:rsid w:val="00695FC2"/>
    <w:rsid w:val="00696949"/>
    <w:rsid w:val="00697052"/>
    <w:rsid w:val="006A08B9"/>
    <w:rsid w:val="006A46FB"/>
    <w:rsid w:val="006A5E28"/>
    <w:rsid w:val="006A697B"/>
    <w:rsid w:val="006A7AFF"/>
    <w:rsid w:val="006B1816"/>
    <w:rsid w:val="006B2099"/>
    <w:rsid w:val="006B50CF"/>
    <w:rsid w:val="006C03B8"/>
    <w:rsid w:val="006C22C9"/>
    <w:rsid w:val="006C54E9"/>
    <w:rsid w:val="006C5EC9"/>
    <w:rsid w:val="006C6059"/>
    <w:rsid w:val="006C70DD"/>
    <w:rsid w:val="006C7522"/>
    <w:rsid w:val="006D4FC3"/>
    <w:rsid w:val="006D6F08"/>
    <w:rsid w:val="006E062C"/>
    <w:rsid w:val="006E28B7"/>
    <w:rsid w:val="006E3310"/>
    <w:rsid w:val="006E4E39"/>
    <w:rsid w:val="006E565E"/>
    <w:rsid w:val="006E673D"/>
    <w:rsid w:val="006E7D3B"/>
    <w:rsid w:val="006F1B70"/>
    <w:rsid w:val="006F341D"/>
    <w:rsid w:val="006F3CDE"/>
    <w:rsid w:val="006F58D4"/>
    <w:rsid w:val="00701B48"/>
    <w:rsid w:val="0070346E"/>
    <w:rsid w:val="00704EDB"/>
    <w:rsid w:val="007053CE"/>
    <w:rsid w:val="00706101"/>
    <w:rsid w:val="00707072"/>
    <w:rsid w:val="00707D61"/>
    <w:rsid w:val="00712287"/>
    <w:rsid w:val="00712772"/>
    <w:rsid w:val="007148D3"/>
    <w:rsid w:val="00715B9A"/>
    <w:rsid w:val="00726AA7"/>
    <w:rsid w:val="00726EA6"/>
    <w:rsid w:val="00727208"/>
    <w:rsid w:val="00727680"/>
    <w:rsid w:val="007348B1"/>
    <w:rsid w:val="007362A6"/>
    <w:rsid w:val="00736D7D"/>
    <w:rsid w:val="00740B46"/>
    <w:rsid w:val="00740E58"/>
    <w:rsid w:val="007445A0"/>
    <w:rsid w:val="0074524B"/>
    <w:rsid w:val="00747D8B"/>
    <w:rsid w:val="00751228"/>
    <w:rsid w:val="007571E1"/>
    <w:rsid w:val="007604B2"/>
    <w:rsid w:val="00765281"/>
    <w:rsid w:val="0076693F"/>
    <w:rsid w:val="00766BAD"/>
    <w:rsid w:val="00767ED4"/>
    <w:rsid w:val="007730BD"/>
    <w:rsid w:val="007755F2"/>
    <w:rsid w:val="00775EF1"/>
    <w:rsid w:val="00776971"/>
    <w:rsid w:val="0078177E"/>
    <w:rsid w:val="00782AB4"/>
    <w:rsid w:val="0078304C"/>
    <w:rsid w:val="00783673"/>
    <w:rsid w:val="00785490"/>
    <w:rsid w:val="007877ED"/>
    <w:rsid w:val="00787AFF"/>
    <w:rsid w:val="007925EA"/>
    <w:rsid w:val="00793CD8"/>
    <w:rsid w:val="00795C92"/>
    <w:rsid w:val="00796231"/>
    <w:rsid w:val="007A1084"/>
    <w:rsid w:val="007A1CB3"/>
    <w:rsid w:val="007A306F"/>
    <w:rsid w:val="007A43A6"/>
    <w:rsid w:val="007A58A6"/>
    <w:rsid w:val="007B1347"/>
    <w:rsid w:val="007B3D2D"/>
    <w:rsid w:val="007B50AE"/>
    <w:rsid w:val="007B51DF"/>
    <w:rsid w:val="007C05DD"/>
    <w:rsid w:val="007C3D18"/>
    <w:rsid w:val="007C60BF"/>
    <w:rsid w:val="007C6A07"/>
    <w:rsid w:val="007C75A1"/>
    <w:rsid w:val="007C77A5"/>
    <w:rsid w:val="007D04E5"/>
    <w:rsid w:val="007D5901"/>
    <w:rsid w:val="007D7526"/>
    <w:rsid w:val="007E45D8"/>
    <w:rsid w:val="007E4610"/>
    <w:rsid w:val="007E4715"/>
    <w:rsid w:val="007E505B"/>
    <w:rsid w:val="007E7091"/>
    <w:rsid w:val="00803FAE"/>
    <w:rsid w:val="0080605F"/>
    <w:rsid w:val="00807786"/>
    <w:rsid w:val="00811FCB"/>
    <w:rsid w:val="00813C83"/>
    <w:rsid w:val="008158D6"/>
    <w:rsid w:val="00817196"/>
    <w:rsid w:val="008235DB"/>
    <w:rsid w:val="00824AB4"/>
    <w:rsid w:val="00825C42"/>
    <w:rsid w:val="00825D25"/>
    <w:rsid w:val="00827D6F"/>
    <w:rsid w:val="00831AD8"/>
    <w:rsid w:val="008376AC"/>
    <w:rsid w:val="008444E8"/>
    <w:rsid w:val="00844E80"/>
    <w:rsid w:val="00846FE7"/>
    <w:rsid w:val="00854F97"/>
    <w:rsid w:val="00856911"/>
    <w:rsid w:val="0086247C"/>
    <w:rsid w:val="008677FD"/>
    <w:rsid w:val="008706D4"/>
    <w:rsid w:val="00870F8A"/>
    <w:rsid w:val="008719A4"/>
    <w:rsid w:val="00871D23"/>
    <w:rsid w:val="00873DB0"/>
    <w:rsid w:val="00874312"/>
    <w:rsid w:val="0087437C"/>
    <w:rsid w:val="00875CD7"/>
    <w:rsid w:val="00876B4D"/>
    <w:rsid w:val="00877F18"/>
    <w:rsid w:val="0089486E"/>
    <w:rsid w:val="00894A88"/>
    <w:rsid w:val="00895386"/>
    <w:rsid w:val="008A21FF"/>
    <w:rsid w:val="008A2CE2"/>
    <w:rsid w:val="008A30AC"/>
    <w:rsid w:val="008A44B8"/>
    <w:rsid w:val="008A51A8"/>
    <w:rsid w:val="008A54C7"/>
    <w:rsid w:val="008A77D8"/>
    <w:rsid w:val="008B0483"/>
    <w:rsid w:val="008B120C"/>
    <w:rsid w:val="008B2EA6"/>
    <w:rsid w:val="008B51A0"/>
    <w:rsid w:val="008B592A"/>
    <w:rsid w:val="008B7B5C"/>
    <w:rsid w:val="008C0C99"/>
    <w:rsid w:val="008C0E51"/>
    <w:rsid w:val="008C2017"/>
    <w:rsid w:val="008C4958"/>
    <w:rsid w:val="008C4BAA"/>
    <w:rsid w:val="008C6AE8"/>
    <w:rsid w:val="008C7573"/>
    <w:rsid w:val="008D34D7"/>
    <w:rsid w:val="008D34F1"/>
    <w:rsid w:val="008D39D8"/>
    <w:rsid w:val="008D4BEB"/>
    <w:rsid w:val="008D6D1A"/>
    <w:rsid w:val="008E065E"/>
    <w:rsid w:val="008E0927"/>
    <w:rsid w:val="008E1909"/>
    <w:rsid w:val="008E7D4F"/>
    <w:rsid w:val="008F1EAB"/>
    <w:rsid w:val="008F33DC"/>
    <w:rsid w:val="008F477F"/>
    <w:rsid w:val="00902350"/>
    <w:rsid w:val="0090336B"/>
    <w:rsid w:val="00903E78"/>
    <w:rsid w:val="009053AA"/>
    <w:rsid w:val="00906939"/>
    <w:rsid w:val="00907CEF"/>
    <w:rsid w:val="00910B7D"/>
    <w:rsid w:val="00911DFB"/>
    <w:rsid w:val="009132F7"/>
    <w:rsid w:val="009139D9"/>
    <w:rsid w:val="00914AD8"/>
    <w:rsid w:val="00914DB8"/>
    <w:rsid w:val="00915959"/>
    <w:rsid w:val="00916079"/>
    <w:rsid w:val="00917CE9"/>
    <w:rsid w:val="00920BF2"/>
    <w:rsid w:val="00921CBD"/>
    <w:rsid w:val="00922010"/>
    <w:rsid w:val="009247CB"/>
    <w:rsid w:val="0092715D"/>
    <w:rsid w:val="00927370"/>
    <w:rsid w:val="00931BD9"/>
    <w:rsid w:val="0093626F"/>
    <w:rsid w:val="009368F3"/>
    <w:rsid w:val="00941636"/>
    <w:rsid w:val="009424F3"/>
    <w:rsid w:val="00943742"/>
    <w:rsid w:val="00945792"/>
    <w:rsid w:val="00945C05"/>
    <w:rsid w:val="00946945"/>
    <w:rsid w:val="00947713"/>
    <w:rsid w:val="00950DE7"/>
    <w:rsid w:val="00953920"/>
    <w:rsid w:val="00953D47"/>
    <w:rsid w:val="0095681E"/>
    <w:rsid w:val="009572D4"/>
    <w:rsid w:val="00961921"/>
    <w:rsid w:val="0096430A"/>
    <w:rsid w:val="0096554B"/>
    <w:rsid w:val="0096584A"/>
    <w:rsid w:val="00970617"/>
    <w:rsid w:val="00971F08"/>
    <w:rsid w:val="0097603D"/>
    <w:rsid w:val="00976949"/>
    <w:rsid w:val="00980477"/>
    <w:rsid w:val="00985253"/>
    <w:rsid w:val="009853B3"/>
    <w:rsid w:val="00990630"/>
    <w:rsid w:val="00991761"/>
    <w:rsid w:val="00994DCA"/>
    <w:rsid w:val="009960EC"/>
    <w:rsid w:val="009970DD"/>
    <w:rsid w:val="00997502"/>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1A55"/>
    <w:rsid w:val="009E35DB"/>
    <w:rsid w:val="009E47A3"/>
    <w:rsid w:val="009F08F3"/>
    <w:rsid w:val="009F344F"/>
    <w:rsid w:val="009F3970"/>
    <w:rsid w:val="00A048A8"/>
    <w:rsid w:val="00A04F49"/>
    <w:rsid w:val="00A12585"/>
    <w:rsid w:val="00A125C2"/>
    <w:rsid w:val="00A13E54"/>
    <w:rsid w:val="00A17F63"/>
    <w:rsid w:val="00A2052C"/>
    <w:rsid w:val="00A2193B"/>
    <w:rsid w:val="00A2351A"/>
    <w:rsid w:val="00A253CA"/>
    <w:rsid w:val="00A264A9"/>
    <w:rsid w:val="00A27785"/>
    <w:rsid w:val="00A30187"/>
    <w:rsid w:val="00A3448A"/>
    <w:rsid w:val="00A36297"/>
    <w:rsid w:val="00A36777"/>
    <w:rsid w:val="00A41E2B"/>
    <w:rsid w:val="00A45B74"/>
    <w:rsid w:val="00A52E1D"/>
    <w:rsid w:val="00A61499"/>
    <w:rsid w:val="00A61F8C"/>
    <w:rsid w:val="00A62A77"/>
    <w:rsid w:val="00A63483"/>
    <w:rsid w:val="00A657D7"/>
    <w:rsid w:val="00A660AC"/>
    <w:rsid w:val="00A66F55"/>
    <w:rsid w:val="00A67E6C"/>
    <w:rsid w:val="00A71B99"/>
    <w:rsid w:val="00A72062"/>
    <w:rsid w:val="00A739D0"/>
    <w:rsid w:val="00A761D4"/>
    <w:rsid w:val="00A77EC4"/>
    <w:rsid w:val="00A92879"/>
    <w:rsid w:val="00A9442A"/>
    <w:rsid w:val="00AA016F"/>
    <w:rsid w:val="00AA1ED6"/>
    <w:rsid w:val="00AA51D6"/>
    <w:rsid w:val="00AA731B"/>
    <w:rsid w:val="00AA7717"/>
    <w:rsid w:val="00AB0BC8"/>
    <w:rsid w:val="00AB11CA"/>
    <w:rsid w:val="00AB14D9"/>
    <w:rsid w:val="00AB4AB8"/>
    <w:rsid w:val="00AB655E"/>
    <w:rsid w:val="00AB6D66"/>
    <w:rsid w:val="00AC007F"/>
    <w:rsid w:val="00AC2ECD"/>
    <w:rsid w:val="00AC3119"/>
    <w:rsid w:val="00AC49FB"/>
    <w:rsid w:val="00AC5A10"/>
    <w:rsid w:val="00AD020A"/>
    <w:rsid w:val="00AD0AA3"/>
    <w:rsid w:val="00AD3F94"/>
    <w:rsid w:val="00AD4A5A"/>
    <w:rsid w:val="00AE27AC"/>
    <w:rsid w:val="00AE3743"/>
    <w:rsid w:val="00AE40E0"/>
    <w:rsid w:val="00AE4DBA"/>
    <w:rsid w:val="00AE4F07"/>
    <w:rsid w:val="00AE7830"/>
    <w:rsid w:val="00AF1C5D"/>
    <w:rsid w:val="00AF42D7"/>
    <w:rsid w:val="00B006FE"/>
    <w:rsid w:val="00B007CB"/>
    <w:rsid w:val="00B02AA9"/>
    <w:rsid w:val="00B02FA3"/>
    <w:rsid w:val="00B05084"/>
    <w:rsid w:val="00B124D0"/>
    <w:rsid w:val="00B157F9"/>
    <w:rsid w:val="00B20256"/>
    <w:rsid w:val="00B20D09"/>
    <w:rsid w:val="00B2117D"/>
    <w:rsid w:val="00B2763F"/>
    <w:rsid w:val="00B27AAC"/>
    <w:rsid w:val="00B30929"/>
    <w:rsid w:val="00B35331"/>
    <w:rsid w:val="00B3561F"/>
    <w:rsid w:val="00B372AA"/>
    <w:rsid w:val="00B40445"/>
    <w:rsid w:val="00B41888"/>
    <w:rsid w:val="00B45A52"/>
    <w:rsid w:val="00B46175"/>
    <w:rsid w:val="00B54308"/>
    <w:rsid w:val="00B6188F"/>
    <w:rsid w:val="00B639E2"/>
    <w:rsid w:val="00B664C7"/>
    <w:rsid w:val="00B739F6"/>
    <w:rsid w:val="00B81A6C"/>
    <w:rsid w:val="00B85DE5"/>
    <w:rsid w:val="00B9075F"/>
    <w:rsid w:val="00B90F73"/>
    <w:rsid w:val="00B93B59"/>
    <w:rsid w:val="00B9406A"/>
    <w:rsid w:val="00BA00E8"/>
    <w:rsid w:val="00BA2280"/>
    <w:rsid w:val="00BA2A08"/>
    <w:rsid w:val="00BA4322"/>
    <w:rsid w:val="00BA45A0"/>
    <w:rsid w:val="00BA56D2"/>
    <w:rsid w:val="00BA76E0"/>
    <w:rsid w:val="00BB2A25"/>
    <w:rsid w:val="00BB51E9"/>
    <w:rsid w:val="00BB7487"/>
    <w:rsid w:val="00BC0FDC"/>
    <w:rsid w:val="00BC3053"/>
    <w:rsid w:val="00BC4D2E"/>
    <w:rsid w:val="00BD48AC"/>
    <w:rsid w:val="00BD5F1A"/>
    <w:rsid w:val="00BE1234"/>
    <w:rsid w:val="00BE2FA6"/>
    <w:rsid w:val="00BE333F"/>
    <w:rsid w:val="00BE7406"/>
    <w:rsid w:val="00BE7603"/>
    <w:rsid w:val="00BE7DE1"/>
    <w:rsid w:val="00BF3279"/>
    <w:rsid w:val="00BF74C7"/>
    <w:rsid w:val="00C015F1"/>
    <w:rsid w:val="00C01F33"/>
    <w:rsid w:val="00C02CC6"/>
    <w:rsid w:val="00C040F7"/>
    <w:rsid w:val="00C041B0"/>
    <w:rsid w:val="00C044AB"/>
    <w:rsid w:val="00C05706"/>
    <w:rsid w:val="00C0683B"/>
    <w:rsid w:val="00C07377"/>
    <w:rsid w:val="00C10478"/>
    <w:rsid w:val="00C12107"/>
    <w:rsid w:val="00C14D4B"/>
    <w:rsid w:val="00C154BB"/>
    <w:rsid w:val="00C22AD5"/>
    <w:rsid w:val="00C24345"/>
    <w:rsid w:val="00C24AC4"/>
    <w:rsid w:val="00C279B5"/>
    <w:rsid w:val="00C27C45"/>
    <w:rsid w:val="00C34BAC"/>
    <w:rsid w:val="00C3719D"/>
    <w:rsid w:val="00C3737C"/>
    <w:rsid w:val="00C37B31"/>
    <w:rsid w:val="00C4003B"/>
    <w:rsid w:val="00C45737"/>
    <w:rsid w:val="00C46B8F"/>
    <w:rsid w:val="00C54995"/>
    <w:rsid w:val="00C54D41"/>
    <w:rsid w:val="00C60783"/>
    <w:rsid w:val="00C64672"/>
    <w:rsid w:val="00C70697"/>
    <w:rsid w:val="00C72EF4"/>
    <w:rsid w:val="00C75D2F"/>
    <w:rsid w:val="00C767BE"/>
    <w:rsid w:val="00C76E3C"/>
    <w:rsid w:val="00C80763"/>
    <w:rsid w:val="00C81568"/>
    <w:rsid w:val="00C860F5"/>
    <w:rsid w:val="00C8642A"/>
    <w:rsid w:val="00C9027A"/>
    <w:rsid w:val="00C9068E"/>
    <w:rsid w:val="00C93C4B"/>
    <w:rsid w:val="00C944AB"/>
    <w:rsid w:val="00C95B40"/>
    <w:rsid w:val="00CA1A8C"/>
    <w:rsid w:val="00CA1ED8"/>
    <w:rsid w:val="00CB1F63"/>
    <w:rsid w:val="00CB7170"/>
    <w:rsid w:val="00CB7740"/>
    <w:rsid w:val="00CC040E"/>
    <w:rsid w:val="00CC111F"/>
    <w:rsid w:val="00CC2011"/>
    <w:rsid w:val="00CC3EA0"/>
    <w:rsid w:val="00CC7B45"/>
    <w:rsid w:val="00CD01E1"/>
    <w:rsid w:val="00CD1188"/>
    <w:rsid w:val="00CD2ED1"/>
    <w:rsid w:val="00CD318D"/>
    <w:rsid w:val="00CD337B"/>
    <w:rsid w:val="00CE0424"/>
    <w:rsid w:val="00CE7561"/>
    <w:rsid w:val="00CF1354"/>
    <w:rsid w:val="00CF3B1F"/>
    <w:rsid w:val="00CF3BF6"/>
    <w:rsid w:val="00CF625B"/>
    <w:rsid w:val="00CF687E"/>
    <w:rsid w:val="00D01798"/>
    <w:rsid w:val="00D0349B"/>
    <w:rsid w:val="00D04014"/>
    <w:rsid w:val="00D10249"/>
    <w:rsid w:val="00D115C3"/>
    <w:rsid w:val="00D11897"/>
    <w:rsid w:val="00D13135"/>
    <w:rsid w:val="00D13E4E"/>
    <w:rsid w:val="00D239A7"/>
    <w:rsid w:val="00D23F47"/>
    <w:rsid w:val="00D30F34"/>
    <w:rsid w:val="00D36E71"/>
    <w:rsid w:val="00D37D87"/>
    <w:rsid w:val="00D40B33"/>
    <w:rsid w:val="00D4318F"/>
    <w:rsid w:val="00D438BF"/>
    <w:rsid w:val="00D440F8"/>
    <w:rsid w:val="00D461DD"/>
    <w:rsid w:val="00D50F97"/>
    <w:rsid w:val="00D546FF"/>
    <w:rsid w:val="00D55AD5"/>
    <w:rsid w:val="00D576CA"/>
    <w:rsid w:val="00D61AF5"/>
    <w:rsid w:val="00D652B5"/>
    <w:rsid w:val="00D65C84"/>
    <w:rsid w:val="00D66155"/>
    <w:rsid w:val="00D708B0"/>
    <w:rsid w:val="00D74306"/>
    <w:rsid w:val="00D77B1D"/>
    <w:rsid w:val="00D8021F"/>
    <w:rsid w:val="00D80383"/>
    <w:rsid w:val="00D80827"/>
    <w:rsid w:val="00D823C6"/>
    <w:rsid w:val="00D85BE1"/>
    <w:rsid w:val="00D86CA3"/>
    <w:rsid w:val="00D871CE"/>
    <w:rsid w:val="00D9196D"/>
    <w:rsid w:val="00D92982"/>
    <w:rsid w:val="00DA305E"/>
    <w:rsid w:val="00DA5417"/>
    <w:rsid w:val="00DA56E8"/>
    <w:rsid w:val="00DB0A9F"/>
    <w:rsid w:val="00DB377D"/>
    <w:rsid w:val="00DC0298"/>
    <w:rsid w:val="00DC2D36"/>
    <w:rsid w:val="00DC53EF"/>
    <w:rsid w:val="00DE5608"/>
    <w:rsid w:val="00DE58D0"/>
    <w:rsid w:val="00DE654F"/>
    <w:rsid w:val="00DF0B6E"/>
    <w:rsid w:val="00DF15E0"/>
    <w:rsid w:val="00DF37A0"/>
    <w:rsid w:val="00DF5D5A"/>
    <w:rsid w:val="00DF7D5A"/>
    <w:rsid w:val="00E110E7"/>
    <w:rsid w:val="00E11B20"/>
    <w:rsid w:val="00E17FA2"/>
    <w:rsid w:val="00E22330"/>
    <w:rsid w:val="00E229A8"/>
    <w:rsid w:val="00E24CB5"/>
    <w:rsid w:val="00E30B5A"/>
    <w:rsid w:val="00E3123D"/>
    <w:rsid w:val="00E31461"/>
    <w:rsid w:val="00E31D43"/>
    <w:rsid w:val="00E32608"/>
    <w:rsid w:val="00E34188"/>
    <w:rsid w:val="00E34B6E"/>
    <w:rsid w:val="00E35559"/>
    <w:rsid w:val="00E3723A"/>
    <w:rsid w:val="00E37860"/>
    <w:rsid w:val="00E40D91"/>
    <w:rsid w:val="00E446F1"/>
    <w:rsid w:val="00E46886"/>
    <w:rsid w:val="00E47AEF"/>
    <w:rsid w:val="00E53B75"/>
    <w:rsid w:val="00E54E3B"/>
    <w:rsid w:val="00E57565"/>
    <w:rsid w:val="00E63838"/>
    <w:rsid w:val="00E64434"/>
    <w:rsid w:val="00E64FBC"/>
    <w:rsid w:val="00E67C51"/>
    <w:rsid w:val="00E72EFC"/>
    <w:rsid w:val="00E758EC"/>
    <w:rsid w:val="00E8234C"/>
    <w:rsid w:val="00E83AA9"/>
    <w:rsid w:val="00E85928"/>
    <w:rsid w:val="00E865ED"/>
    <w:rsid w:val="00E87822"/>
    <w:rsid w:val="00E87BAE"/>
    <w:rsid w:val="00E90395"/>
    <w:rsid w:val="00E90E49"/>
    <w:rsid w:val="00E917F9"/>
    <w:rsid w:val="00E91B58"/>
    <w:rsid w:val="00E9291C"/>
    <w:rsid w:val="00E93FFE"/>
    <w:rsid w:val="00E94F8A"/>
    <w:rsid w:val="00EA7A41"/>
    <w:rsid w:val="00EB077B"/>
    <w:rsid w:val="00EB4EA2"/>
    <w:rsid w:val="00EC27C6"/>
    <w:rsid w:val="00EC4207"/>
    <w:rsid w:val="00EC4B7E"/>
    <w:rsid w:val="00EC5653"/>
    <w:rsid w:val="00EC71CE"/>
    <w:rsid w:val="00ED1006"/>
    <w:rsid w:val="00ED521A"/>
    <w:rsid w:val="00ED6462"/>
    <w:rsid w:val="00EF18FE"/>
    <w:rsid w:val="00EF5787"/>
    <w:rsid w:val="00EF60D0"/>
    <w:rsid w:val="00EF723F"/>
    <w:rsid w:val="00F0105F"/>
    <w:rsid w:val="00F0528D"/>
    <w:rsid w:val="00F06C67"/>
    <w:rsid w:val="00F06DFD"/>
    <w:rsid w:val="00F071D1"/>
    <w:rsid w:val="00F07533"/>
    <w:rsid w:val="00F07FE0"/>
    <w:rsid w:val="00F10629"/>
    <w:rsid w:val="00F15FA5"/>
    <w:rsid w:val="00F209B7"/>
    <w:rsid w:val="00F2376F"/>
    <w:rsid w:val="00F243D8"/>
    <w:rsid w:val="00F30828"/>
    <w:rsid w:val="00F313D6"/>
    <w:rsid w:val="00F40F0C"/>
    <w:rsid w:val="00F472C4"/>
    <w:rsid w:val="00F4766C"/>
    <w:rsid w:val="00F507D1"/>
    <w:rsid w:val="00F519CE"/>
    <w:rsid w:val="00F51ADA"/>
    <w:rsid w:val="00F52FBF"/>
    <w:rsid w:val="00F607C5"/>
    <w:rsid w:val="00F60DEA"/>
    <w:rsid w:val="00F6302A"/>
    <w:rsid w:val="00F64C2B"/>
    <w:rsid w:val="00F651BE"/>
    <w:rsid w:val="00F67F53"/>
    <w:rsid w:val="00F703BE"/>
    <w:rsid w:val="00F71F69"/>
    <w:rsid w:val="00F72B72"/>
    <w:rsid w:val="00F74BB9"/>
    <w:rsid w:val="00F75582"/>
    <w:rsid w:val="00F75C0F"/>
    <w:rsid w:val="00F76EFA"/>
    <w:rsid w:val="00F804BE"/>
    <w:rsid w:val="00F817CE"/>
    <w:rsid w:val="00F81CA1"/>
    <w:rsid w:val="00F8456C"/>
    <w:rsid w:val="00F859D8"/>
    <w:rsid w:val="00F868F5"/>
    <w:rsid w:val="00F9056A"/>
    <w:rsid w:val="00F90F8D"/>
    <w:rsid w:val="00F92782"/>
    <w:rsid w:val="00F93AA9"/>
    <w:rsid w:val="00F96985"/>
    <w:rsid w:val="00F97838"/>
    <w:rsid w:val="00FA2BB3"/>
    <w:rsid w:val="00FB4C80"/>
    <w:rsid w:val="00FB4FAE"/>
    <w:rsid w:val="00FB6A6A"/>
    <w:rsid w:val="00FC576D"/>
    <w:rsid w:val="00FC7429"/>
    <w:rsid w:val="00FD07F6"/>
    <w:rsid w:val="00FD1EC8"/>
    <w:rsid w:val="00FD47ED"/>
    <w:rsid w:val="00FD74DB"/>
    <w:rsid w:val="00FD7660"/>
    <w:rsid w:val="00FE0655"/>
    <w:rsid w:val="00FE2365"/>
    <w:rsid w:val="00FE4C7B"/>
    <w:rsid w:val="00FE7336"/>
    <w:rsid w:val="00FE787C"/>
    <w:rsid w:val="00FE7C81"/>
    <w:rsid w:val="00FF307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318D"/>
    <w:pPr>
      <w:spacing w:after="160" w:line="259" w:lineRule="auto"/>
    </w:pPr>
    <w:rPr>
      <w:rFonts w:asciiTheme="minorHAnsi" w:eastAsiaTheme="minorHAnsi" w:hAnsiTheme="minorHAnsi" w:cstheme="minorBidi"/>
      <w:sz w:val="22"/>
      <w:szCs w:val="22"/>
      <w:lang w:val="fi-FI"/>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CD31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D318D"/>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semiHidden/>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spacing w:after="0"/>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spacing w:after="0"/>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sz w:val="24"/>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semiHidden/>
    <w:rsid w:val="007E45D8"/>
    <w:rPr>
      <w:sz w:val="16"/>
      <w:szCs w:val="16"/>
    </w:rPr>
  </w:style>
  <w:style w:type="paragraph" w:styleId="CommentText">
    <w:name w:val="annotation text"/>
    <w:basedOn w:val="Normal"/>
    <w:semiHidden/>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clear" w:pos="1304"/>
        <w:tab w:val="left" w:pos="1701"/>
      </w:tabs>
      <w:ind w:left="1701" w:hanging="1701"/>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rsid w:val="007E45D8"/>
    <w:pPr>
      <w:keepNext/>
      <w:keepLines/>
      <w:spacing w:after="0"/>
    </w:pPr>
    <w:rPr>
      <w:sz w:val="18"/>
    </w:rPr>
  </w:style>
  <w:style w:type="paragraph" w:customStyle="1" w:styleId="TAC">
    <w:name w:val="TAC"/>
    <w:basedOn w:val="TAL"/>
    <w:rsid w:val="007E45D8"/>
    <w:pPr>
      <w:jc w:val="center"/>
    </w:pPr>
  </w:style>
  <w:style w:type="paragraph" w:customStyle="1" w:styleId="TAH">
    <w:name w:val="TAH"/>
    <w:basedOn w:val="TAC"/>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rsid w:val="007E45D8"/>
    <w:pPr>
      <w:keepNext/>
      <w:keepLines/>
      <w:spacing w:before="60" w:after="180"/>
      <w:jc w:val="center"/>
    </w:pPr>
    <w:rPr>
      <w:b/>
    </w:rPr>
  </w:style>
  <w:style w:type="paragraph" w:customStyle="1" w:styleId="TF">
    <w:name w:val="TF"/>
    <w:basedOn w:val="TH"/>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pPr>
      <w:spacing w:after="0"/>
    </w:pPr>
  </w:style>
  <w:style w:type="paragraph" w:customStyle="1" w:styleId="Observation">
    <w:name w:val="Observation"/>
    <w:basedOn w:val="Proposal"/>
    <w:qFormat/>
    <w:rsid w:val="007E45D8"/>
    <w:pPr>
      <w:numPr>
        <w:numId w:val="13"/>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 w:type="paragraph" w:styleId="ListParagraph">
    <w:name w:val="List Paragraph"/>
    <w:basedOn w:val="Normal"/>
    <w:uiPriority w:val="34"/>
    <w:qFormat/>
    <w:rsid w:val="008E7D4F"/>
    <w:pPr>
      <w:spacing w:line="256" w:lineRule="auto"/>
      <w:ind w:left="720"/>
      <w:contextualSpacing/>
    </w:pPr>
  </w:style>
  <w:style w:type="paragraph" w:styleId="NormalWeb">
    <w:name w:val="Normal (Web)"/>
    <w:basedOn w:val="Normal"/>
    <w:uiPriority w:val="99"/>
    <w:unhideWhenUsed/>
    <w:rsid w:val="00CA1A8C"/>
    <w:pPr>
      <w:spacing w:before="100" w:beforeAutospacing="1" w:after="100" w:afterAutospacing="1" w:line="240" w:lineRule="auto"/>
    </w:pPr>
    <w:rPr>
      <w:rFonts w:ascii="Times New Roman" w:eastAsiaTheme="minorEastAsia"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049300">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5NUHHDQN7SK2-1476151046-35451</_dlc_DocId>
    <_dlc_DocIdUrl xmlns="f166a696-7b5b-4ccd-9f0c-ffde0cceec81">
      <Url>https://ericsson.sharepoint.com/sites/star/_layouts/15/DocIdRedir.aspx?ID=5NUHHDQN7SK2-1476151046-35451</Url>
      <Description>5NUHHDQN7SK2-1476151046-35451</Description>
    </_dlc_DocIdUrl>
    <Issue_x0020_in_x0020_OI_x0020_list_x0020__x0028_Y_x002f_N_x0029_ xmlns="611109f9-ed58-4498-a270-1fb2086a5321" xsi:nil="true"/>
    <_Flow_SignoffStatus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B75983-38C3-4457-BCC2-B76D5781B3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CC9D0E-23B8-4B1F-9D07-BF17C3CFE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5A105E8D-A8D5-40E8-BFB1-9109E0ECE7CF}">
  <ds:schemaRefs>
    <ds:schemaRef ds:uri="http://schemas.microsoft.com/sharepoint/v3/contenttype/forms"/>
  </ds:schemaRefs>
</ds:datastoreItem>
</file>

<file path=customXml/itemProps4.xml><?xml version="1.0" encoding="utf-8"?>
<ds:datastoreItem xmlns:ds="http://schemas.openxmlformats.org/officeDocument/2006/customXml" ds:itemID="{9FD2A5E0-4F1D-4668-82F8-167FAF016590}">
  <ds:schemaRefs>
    <ds:schemaRef ds:uri="http://schemas.microsoft.com/sharepoint/events"/>
  </ds:schemaRefs>
</ds:datastoreItem>
</file>

<file path=customXml/itemProps5.xml><?xml version="1.0" encoding="utf-8"?>
<ds:datastoreItem xmlns:ds="http://schemas.openxmlformats.org/officeDocument/2006/customXml" ds:itemID="{3E97C899-3838-4B39-9475-DF6AC7F347DC}">
  <ds:schemaRefs>
    <ds:schemaRef ds:uri="Microsoft.SharePoint.Taxonomy.ContentTypeSync"/>
  </ds:schemaRefs>
</ds:datastoreItem>
</file>

<file path=customXml/itemProps6.xml><?xml version="1.0" encoding="utf-8"?>
<ds:datastoreItem xmlns:ds="http://schemas.openxmlformats.org/officeDocument/2006/customXml" ds:itemID="{AC99AB10-4516-493B-85DD-BB4266B5F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763</Words>
  <Characters>6185</Characters>
  <Application>Microsoft Office Word</Application>
  <DocSecurity>0</DocSecurity>
  <Lines>51</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2018-10-15T05:44:00Z</dcterms:created>
  <dcterms:modified xsi:type="dcterms:W3CDTF">2018-11-02T05:58:00Z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b47eb974-6825-43ef-8820-3c1765fe12a4</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